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4AD45A">
      <w:pPr>
        <w:rPr>
          <w:rFonts w:hint="eastAsia" w:ascii="宋体" w:hAnsi="宋体" w:eastAsia="宋体" w:cs="宋体"/>
          <w:color w:val="auto"/>
          <w:sz w:val="24"/>
          <w:highlight w:val="none"/>
          <w:lang w:val="en-US" w:eastAsia="zh-CN"/>
        </w:rPr>
      </w:pPr>
    </w:p>
    <w:p w14:paraId="710F52EE">
      <w:pPr>
        <w:rPr>
          <w:rFonts w:hint="eastAsia" w:ascii="宋体" w:hAnsi="宋体" w:eastAsia="宋体" w:cs="宋体"/>
          <w:color w:val="auto"/>
          <w:sz w:val="24"/>
          <w:highlight w:val="none"/>
        </w:rPr>
      </w:pPr>
    </w:p>
    <w:p w14:paraId="1BEE249D">
      <w:pPr>
        <w:rPr>
          <w:rFonts w:hint="eastAsia" w:ascii="宋体" w:hAnsi="宋体" w:eastAsia="宋体" w:cs="宋体"/>
          <w:color w:val="auto"/>
          <w:sz w:val="24"/>
          <w:highlight w:val="none"/>
        </w:rPr>
      </w:pPr>
    </w:p>
    <w:p w14:paraId="2508BBB6">
      <w:pPr>
        <w:adjustRightInd w:val="0"/>
        <w:snapToGrid w:val="0"/>
        <w:spacing w:before="312" w:beforeLines="100" w:line="240" w:lineRule="atLeast"/>
        <w:jc w:val="center"/>
        <w:rPr>
          <w:rFonts w:hint="default" w:ascii="宋体" w:hAnsi="宋体" w:eastAsia="宋体" w:cs="宋体"/>
          <w:b/>
          <w:bCs/>
          <w:snapToGrid w:val="0"/>
          <w:color w:val="auto"/>
          <w:sz w:val="40"/>
          <w:szCs w:val="40"/>
          <w:highlight w:val="none"/>
          <w:lang w:val="en-US" w:eastAsia="zh-CN"/>
        </w:rPr>
      </w:pPr>
      <w:r>
        <w:rPr>
          <w:rFonts w:hint="eastAsia" w:ascii="宋体" w:hAnsi="宋体" w:eastAsia="宋体" w:cs="宋体"/>
          <w:b/>
          <w:bCs/>
          <w:snapToGrid w:val="0"/>
          <w:color w:val="auto"/>
          <w:sz w:val="48"/>
          <w:szCs w:val="48"/>
          <w:highlight w:val="none"/>
          <w:lang w:eastAsia="zh-CN"/>
        </w:rPr>
        <w:t>吉林省公安厅“ZJGC"项目</w:t>
      </w:r>
    </w:p>
    <w:p w14:paraId="33EE84AA">
      <w:pPr>
        <w:adjustRightInd w:val="0"/>
        <w:snapToGrid w:val="0"/>
        <w:spacing w:before="312" w:beforeLines="100" w:line="240" w:lineRule="atLeast"/>
        <w:jc w:val="center"/>
        <w:rPr>
          <w:rFonts w:hint="eastAsia" w:ascii="宋体" w:hAnsi="宋体" w:eastAsia="宋体" w:cs="宋体"/>
          <w:b/>
          <w:bCs/>
          <w:snapToGrid w:val="0"/>
          <w:color w:val="auto"/>
          <w:sz w:val="42"/>
          <w:szCs w:val="40"/>
          <w:highlight w:val="none"/>
        </w:rPr>
      </w:pPr>
    </w:p>
    <w:p w14:paraId="00661540">
      <w:pPr>
        <w:snapToGrid w:val="0"/>
        <w:spacing w:before="312" w:beforeLines="100"/>
        <w:rPr>
          <w:rFonts w:hint="eastAsia" w:ascii="宋体" w:hAnsi="宋体" w:eastAsia="宋体" w:cs="宋体"/>
          <w:b/>
          <w:bCs/>
          <w:snapToGrid w:val="0"/>
          <w:color w:val="auto"/>
          <w:sz w:val="44"/>
          <w:szCs w:val="44"/>
          <w:highlight w:val="none"/>
        </w:rPr>
      </w:pPr>
    </w:p>
    <w:p w14:paraId="768710EC">
      <w:pPr>
        <w:snapToGrid w:val="0"/>
        <w:spacing w:before="312" w:beforeLines="100"/>
        <w:jc w:val="center"/>
        <w:rPr>
          <w:rFonts w:hint="eastAsia" w:ascii="宋体" w:hAnsi="宋体" w:eastAsia="宋体" w:cs="宋体"/>
          <w:b/>
          <w:bCs/>
          <w:color w:val="auto"/>
          <w:sz w:val="78"/>
          <w:szCs w:val="84"/>
          <w:highlight w:val="none"/>
          <w:lang w:eastAsia="zh-CN"/>
        </w:rPr>
      </w:pPr>
      <w:r>
        <w:rPr>
          <w:rFonts w:hint="eastAsia" w:ascii="宋体" w:hAnsi="宋体" w:eastAsia="宋体" w:cs="宋体"/>
          <w:b/>
          <w:bCs/>
          <w:color w:val="auto"/>
          <w:sz w:val="78"/>
          <w:szCs w:val="84"/>
          <w:highlight w:val="none"/>
          <w:lang w:val="en-US" w:eastAsia="zh-CN"/>
        </w:rPr>
        <w:t>招标</w:t>
      </w:r>
      <w:r>
        <w:rPr>
          <w:rFonts w:hint="eastAsia" w:ascii="宋体" w:hAnsi="宋体" w:eastAsia="宋体" w:cs="宋体"/>
          <w:b/>
          <w:bCs/>
          <w:color w:val="auto"/>
          <w:sz w:val="78"/>
          <w:szCs w:val="84"/>
          <w:highlight w:val="none"/>
          <w:lang w:eastAsia="zh-CN"/>
        </w:rPr>
        <w:t>文件</w:t>
      </w:r>
    </w:p>
    <w:p w14:paraId="70B1F559">
      <w:pPr>
        <w:snapToGrid w:val="0"/>
        <w:jc w:val="center"/>
        <w:rPr>
          <w:rFonts w:hint="eastAsia" w:ascii="宋体" w:hAnsi="宋体" w:eastAsia="宋体" w:cs="宋体"/>
          <w:b/>
          <w:bCs/>
          <w:color w:val="auto"/>
          <w:sz w:val="44"/>
          <w:szCs w:val="44"/>
          <w:highlight w:val="none"/>
        </w:rPr>
      </w:pPr>
    </w:p>
    <w:p w14:paraId="67F5AFA2">
      <w:pPr>
        <w:snapToGrid w:val="0"/>
        <w:jc w:val="center"/>
        <w:rPr>
          <w:rFonts w:hint="eastAsia" w:ascii="宋体" w:hAnsi="宋体" w:eastAsia="宋体" w:cs="宋体"/>
          <w:b/>
          <w:bCs/>
          <w:color w:val="auto"/>
          <w:sz w:val="44"/>
          <w:szCs w:val="44"/>
          <w:highlight w:val="none"/>
        </w:rPr>
      </w:pPr>
    </w:p>
    <w:p w14:paraId="3907298C">
      <w:pPr>
        <w:snapToGrid w:val="0"/>
        <w:jc w:val="center"/>
        <w:rPr>
          <w:rFonts w:hint="eastAsia" w:ascii="宋体" w:hAnsi="宋体" w:eastAsia="宋体" w:cs="宋体"/>
          <w:b/>
          <w:bCs/>
          <w:color w:val="auto"/>
          <w:sz w:val="44"/>
          <w:szCs w:val="44"/>
          <w:highlight w:val="none"/>
        </w:rPr>
      </w:pPr>
    </w:p>
    <w:p w14:paraId="3698257D">
      <w:pPr>
        <w:snapToGrid w:val="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rPr>
        <w:t>编号：</w:t>
      </w:r>
      <w:r>
        <w:rPr>
          <w:rFonts w:hint="eastAsia" w:ascii="宋体" w:hAnsi="宋体" w:cs="宋体"/>
          <w:b/>
          <w:bCs/>
          <w:color w:val="auto"/>
          <w:sz w:val="32"/>
          <w:szCs w:val="32"/>
          <w:highlight w:val="none"/>
          <w:lang w:eastAsia="zh-CN"/>
        </w:rPr>
        <w:t>采购计划-[2026]-07476号</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eastAsia="zh-CN"/>
        </w:rPr>
        <w:t>ZZ60827HW04310038</w:t>
      </w:r>
    </w:p>
    <w:p w14:paraId="6CD554E2">
      <w:pPr>
        <w:snapToGrid w:val="0"/>
        <w:rPr>
          <w:rFonts w:hint="eastAsia" w:ascii="宋体" w:hAnsi="宋体" w:eastAsia="宋体" w:cs="宋体"/>
          <w:color w:val="auto"/>
          <w:sz w:val="28"/>
          <w:szCs w:val="28"/>
          <w:highlight w:val="none"/>
        </w:rPr>
      </w:pPr>
    </w:p>
    <w:p w14:paraId="21105DA8">
      <w:pPr>
        <w:snapToGri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BB6107F">
      <w:pPr>
        <w:snapToGrid w:val="0"/>
        <w:rPr>
          <w:rFonts w:hint="eastAsia" w:ascii="宋体" w:hAnsi="宋体" w:eastAsia="宋体" w:cs="宋体"/>
          <w:color w:val="auto"/>
          <w:sz w:val="28"/>
          <w:szCs w:val="28"/>
          <w:highlight w:val="none"/>
        </w:rPr>
      </w:pPr>
    </w:p>
    <w:p w14:paraId="27A30012">
      <w:pPr>
        <w:keepNext w:val="0"/>
        <w:keepLines w:val="0"/>
        <w:pageBreakBefore w:val="0"/>
        <w:widowControl w:val="0"/>
        <w:kinsoku/>
        <w:wordWrap/>
        <w:overflowPunct/>
        <w:topLinePunct w:val="0"/>
        <w:autoSpaceDE/>
        <w:autoSpaceDN/>
        <w:bidi w:val="0"/>
        <w:adjustRightInd/>
        <w:snapToGrid/>
        <w:spacing w:after="100" w:afterAutospacing="1"/>
        <w:textAlignment w:val="auto"/>
        <w:rPr>
          <w:rFonts w:hint="eastAsia" w:hAnsi="宋体"/>
          <w:b/>
          <w:color w:val="auto"/>
          <w:sz w:val="32"/>
          <w:szCs w:val="32"/>
          <w:highlight w:val="none"/>
        </w:rPr>
      </w:pPr>
    </w:p>
    <w:p w14:paraId="54FC59B8">
      <w:pPr>
        <w:keepNext w:val="0"/>
        <w:keepLines w:val="0"/>
        <w:pageBreakBefore w:val="0"/>
        <w:widowControl w:val="0"/>
        <w:kinsoku/>
        <w:wordWrap/>
        <w:overflowPunct/>
        <w:topLinePunct w:val="0"/>
        <w:autoSpaceDE/>
        <w:autoSpaceDN/>
        <w:bidi w:val="0"/>
        <w:adjustRightInd/>
        <w:snapToGrid/>
        <w:spacing w:after="100" w:afterAutospacing="1"/>
        <w:ind w:firstLine="1285" w:firstLineChars="400"/>
        <w:textAlignment w:val="auto"/>
        <w:rPr>
          <w:rFonts w:hint="eastAsia" w:hAnsi="宋体"/>
          <w:b/>
          <w:color w:val="auto"/>
          <w:sz w:val="32"/>
          <w:szCs w:val="32"/>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吉林省公安厅</w:t>
      </w:r>
    </w:p>
    <w:p w14:paraId="585B83B8">
      <w:pPr>
        <w:keepNext w:val="0"/>
        <w:keepLines w:val="0"/>
        <w:pageBreakBefore w:val="0"/>
        <w:widowControl w:val="0"/>
        <w:tabs>
          <w:tab w:val="left" w:pos="3247"/>
        </w:tabs>
        <w:kinsoku/>
        <w:wordWrap/>
        <w:overflowPunct/>
        <w:topLinePunct w:val="0"/>
        <w:autoSpaceDE/>
        <w:autoSpaceDN/>
        <w:bidi w:val="0"/>
        <w:adjustRightInd/>
        <w:snapToGrid/>
        <w:spacing w:after="100" w:afterAutospacing="1"/>
        <w:ind w:firstLine="1285" w:firstLineChars="400"/>
        <w:textAlignment w:val="auto"/>
        <w:rPr>
          <w:rFonts w:hint="eastAsia" w:hAnsi="宋体" w:eastAsia="宋体"/>
          <w:b/>
          <w:color w:val="auto"/>
          <w:sz w:val="32"/>
          <w:szCs w:val="32"/>
          <w:highlight w:val="none"/>
          <w:lang w:eastAsia="zh-CN"/>
        </w:rPr>
      </w:pPr>
      <w:r>
        <w:rPr>
          <w:rFonts w:hint="eastAsia" w:hAnsi="宋体"/>
          <w:b/>
          <w:color w:val="auto"/>
          <w:sz w:val="32"/>
          <w:szCs w:val="32"/>
          <w:highlight w:val="none"/>
        </w:rPr>
        <w:t>采购代理机构：</w:t>
      </w:r>
      <w:r>
        <w:rPr>
          <w:rFonts w:hint="eastAsia" w:hAnsi="宋体"/>
          <w:b/>
          <w:color w:val="auto"/>
          <w:sz w:val="32"/>
          <w:szCs w:val="32"/>
          <w:highlight w:val="none"/>
          <w:lang w:val="en-US" w:eastAsia="zh-CN"/>
        </w:rPr>
        <w:t>中资国际工程咨询集团有限责任公司</w:t>
      </w:r>
    </w:p>
    <w:p w14:paraId="1B78C68C">
      <w:pPr>
        <w:spacing w:line="360" w:lineRule="auto"/>
        <w:jc w:val="center"/>
        <w:rPr>
          <w:color w:val="auto"/>
          <w:highlight w:val="none"/>
        </w:rPr>
      </w:pPr>
      <w:r>
        <w:rPr>
          <w:rFonts w:hint="eastAsia" w:hAnsi="宋体"/>
          <w:b/>
          <w:bCs/>
          <w:color w:val="auto"/>
          <w:sz w:val="32"/>
          <w:szCs w:val="32"/>
          <w:highlight w:val="none"/>
        </w:rPr>
        <w:t>二〇二</w:t>
      </w:r>
      <w:r>
        <w:rPr>
          <w:rFonts w:hint="eastAsia" w:hAnsi="宋体"/>
          <w:b/>
          <w:bCs/>
          <w:color w:val="auto"/>
          <w:sz w:val="32"/>
          <w:szCs w:val="32"/>
          <w:highlight w:val="none"/>
          <w:lang w:val="en-US" w:eastAsia="zh-CN"/>
        </w:rPr>
        <w:t>六</w:t>
      </w:r>
      <w:r>
        <w:rPr>
          <w:rFonts w:hint="eastAsia" w:hAnsi="宋体"/>
          <w:b/>
          <w:color w:val="auto"/>
          <w:sz w:val="32"/>
          <w:szCs w:val="32"/>
          <w:highlight w:val="none"/>
        </w:rPr>
        <w:t>年</w:t>
      </w:r>
      <w:r>
        <w:rPr>
          <w:rFonts w:hint="eastAsia" w:hAnsi="宋体"/>
          <w:b/>
          <w:color w:val="auto"/>
          <w:sz w:val="32"/>
          <w:szCs w:val="32"/>
          <w:highlight w:val="none"/>
          <w:lang w:val="en-US" w:eastAsia="zh-CN"/>
        </w:rPr>
        <w:t>五</w:t>
      </w:r>
      <w:r>
        <w:rPr>
          <w:rFonts w:hint="eastAsia" w:hAnsi="宋体"/>
          <w:b/>
          <w:color w:val="auto"/>
          <w:sz w:val="32"/>
          <w:szCs w:val="32"/>
          <w:highlight w:val="none"/>
        </w:rPr>
        <w:t>月</w:t>
      </w:r>
    </w:p>
    <w:p w14:paraId="114829A7">
      <w:pPr>
        <w:autoSpaceDE w:val="0"/>
        <w:autoSpaceDN w:val="0"/>
        <w:adjustRightInd w:val="0"/>
        <w:snapToGrid w:val="0"/>
        <w:spacing w:line="520" w:lineRule="exact"/>
        <w:jc w:val="center"/>
        <w:rPr>
          <w:rFonts w:hint="eastAsia" w:ascii="宋体" w:hAnsi="宋体" w:eastAsia="宋体" w:cs="宋体"/>
          <w:color w:val="auto"/>
          <w:sz w:val="30"/>
          <w:szCs w:val="30"/>
          <w:highlight w:val="none"/>
        </w:rPr>
        <w:sectPr>
          <w:footerReference r:id="rId4" w:type="first"/>
          <w:footerReference r:id="rId3" w:type="default"/>
          <w:pgSz w:w="11906" w:h="16838"/>
          <w:pgMar w:top="1814" w:right="1361" w:bottom="1701" w:left="1440" w:header="850" w:footer="992" w:gutter="0"/>
          <w:pgNumType w:fmt="decimal" w:start="1"/>
          <w:cols w:space="720" w:num="1"/>
          <w:titlePg/>
          <w:rtlGutter w:val="0"/>
          <w:docGrid w:type="lines" w:linePitch="317" w:charSpace="0"/>
        </w:sectPr>
      </w:pPr>
    </w:p>
    <w:p w14:paraId="53203044">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4FFEDDED">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r>
        <w:rPr>
          <w:rFonts w:hint="eastAsia" w:ascii="宋体" w:hAnsi="宋体" w:eastAsia="宋体" w:cs="宋体"/>
          <w:b/>
          <w:color w:val="auto"/>
          <w:sz w:val="44"/>
          <w:highlight w:val="none"/>
          <w:lang w:val="zh-CN"/>
        </w:rPr>
        <w:t>目  录</w:t>
      </w:r>
    </w:p>
    <w:p w14:paraId="4AD67194">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16AE4AC3">
      <w:pPr>
        <w:pStyle w:val="21"/>
        <w:tabs>
          <w:tab w:val="right" w:leader="dot" w:pos="9105"/>
        </w:tabs>
        <w:spacing w:line="600" w:lineRule="auto"/>
        <w:rPr>
          <w:sz w:val="28"/>
          <w:szCs w:val="24"/>
        </w:rPr>
      </w:pPr>
      <w:r>
        <w:rPr>
          <w:rFonts w:hint="eastAsia" w:ascii="宋体" w:hAnsi="宋体" w:eastAsia="宋体" w:cs="宋体"/>
          <w:b/>
          <w:color w:val="auto"/>
          <w:sz w:val="24"/>
          <w:szCs w:val="24"/>
          <w:highlight w:val="none"/>
          <w:lang w:val="zh-CN"/>
        </w:rPr>
        <w:fldChar w:fldCharType="begin"/>
      </w:r>
      <w:r>
        <w:rPr>
          <w:rFonts w:hint="eastAsia" w:ascii="宋体" w:hAnsi="宋体" w:eastAsia="宋体" w:cs="宋体"/>
          <w:b/>
          <w:color w:val="auto"/>
          <w:sz w:val="24"/>
          <w:szCs w:val="24"/>
          <w:highlight w:val="none"/>
          <w:lang w:val="zh-CN"/>
        </w:rPr>
        <w:instrText xml:space="preserve"> TOC \o "1-1" \h \z \u </w:instrText>
      </w:r>
      <w:r>
        <w:rPr>
          <w:rFonts w:hint="eastAsia" w:ascii="宋体" w:hAnsi="宋体" w:eastAsia="宋体" w:cs="宋体"/>
          <w:b/>
          <w:color w:val="auto"/>
          <w:sz w:val="24"/>
          <w:szCs w:val="24"/>
          <w:highlight w:val="none"/>
          <w:lang w:val="zh-CN"/>
        </w:rPr>
        <w:fldChar w:fldCharType="separate"/>
      </w:r>
      <w:r>
        <w:rPr>
          <w:rFonts w:hint="eastAsia" w:ascii="宋体" w:hAnsi="宋体" w:eastAsia="宋体" w:cs="宋体"/>
          <w:color w:val="auto"/>
          <w:sz w:val="28"/>
          <w:szCs w:val="36"/>
          <w:highlight w:val="none"/>
          <w:lang w:val="zh-CN"/>
        </w:rPr>
        <w:fldChar w:fldCharType="begin"/>
      </w:r>
      <w:r>
        <w:rPr>
          <w:rFonts w:hint="eastAsia" w:ascii="宋体" w:hAnsi="宋体" w:eastAsia="宋体" w:cs="宋体"/>
          <w:sz w:val="28"/>
          <w:szCs w:val="36"/>
          <w:highlight w:val="none"/>
          <w:lang w:val="zh-CN"/>
        </w:rPr>
        <w:instrText xml:space="preserve"> HYPERLINK \l _Toc10548 </w:instrText>
      </w:r>
      <w:r>
        <w:rPr>
          <w:rFonts w:hint="eastAsia" w:ascii="宋体" w:hAnsi="宋体" w:eastAsia="宋体" w:cs="宋体"/>
          <w:sz w:val="28"/>
          <w:szCs w:val="36"/>
          <w:highlight w:val="none"/>
          <w:lang w:val="zh-CN"/>
        </w:rPr>
        <w:fldChar w:fldCharType="separate"/>
      </w:r>
      <w:r>
        <w:rPr>
          <w:rFonts w:hint="eastAsia"/>
          <w:sz w:val="28"/>
          <w:szCs w:val="48"/>
        </w:rPr>
        <w:t xml:space="preserve">第一章 </w:t>
      </w:r>
      <w:r>
        <w:rPr>
          <w:rFonts w:hint="eastAsia"/>
          <w:sz w:val="28"/>
          <w:szCs w:val="48"/>
          <w:lang w:eastAsia="zh-CN"/>
        </w:rPr>
        <w:t>招标公告</w:t>
      </w:r>
      <w:r>
        <w:rPr>
          <w:sz w:val="28"/>
          <w:szCs w:val="24"/>
        </w:rPr>
        <w:tab/>
      </w:r>
      <w:r>
        <w:rPr>
          <w:sz w:val="28"/>
          <w:szCs w:val="24"/>
        </w:rPr>
        <w:fldChar w:fldCharType="begin"/>
      </w:r>
      <w:r>
        <w:rPr>
          <w:sz w:val="28"/>
          <w:szCs w:val="24"/>
        </w:rPr>
        <w:instrText xml:space="preserve"> PAGEREF _Toc10548 \h </w:instrText>
      </w:r>
      <w:r>
        <w:rPr>
          <w:sz w:val="28"/>
          <w:szCs w:val="24"/>
        </w:rPr>
        <w:fldChar w:fldCharType="separate"/>
      </w:r>
      <w:r>
        <w:rPr>
          <w:sz w:val="28"/>
          <w:szCs w:val="24"/>
        </w:rPr>
        <w:t>1</w:t>
      </w:r>
      <w:r>
        <w:rPr>
          <w:sz w:val="28"/>
          <w:szCs w:val="24"/>
        </w:rPr>
        <w:fldChar w:fldCharType="end"/>
      </w:r>
      <w:r>
        <w:rPr>
          <w:rFonts w:hint="eastAsia" w:ascii="宋体" w:hAnsi="宋体" w:eastAsia="宋体" w:cs="宋体"/>
          <w:color w:val="auto"/>
          <w:sz w:val="28"/>
          <w:szCs w:val="36"/>
          <w:highlight w:val="none"/>
          <w:lang w:val="zh-CN"/>
        </w:rPr>
        <w:fldChar w:fldCharType="end"/>
      </w:r>
    </w:p>
    <w:p w14:paraId="4893A094">
      <w:pPr>
        <w:pStyle w:val="21"/>
        <w:tabs>
          <w:tab w:val="right" w:leader="dot" w:pos="9105"/>
        </w:tabs>
        <w:spacing w:line="600" w:lineRule="auto"/>
        <w:rPr>
          <w:sz w:val="28"/>
          <w:szCs w:val="24"/>
        </w:rPr>
      </w:pPr>
      <w:r>
        <w:rPr>
          <w:rFonts w:hint="eastAsia" w:ascii="宋体" w:hAnsi="宋体" w:eastAsia="宋体" w:cs="宋体"/>
          <w:color w:val="auto"/>
          <w:sz w:val="28"/>
          <w:szCs w:val="36"/>
          <w:highlight w:val="none"/>
          <w:lang w:val="zh-CN"/>
        </w:rPr>
        <w:fldChar w:fldCharType="begin"/>
      </w:r>
      <w:r>
        <w:rPr>
          <w:rFonts w:hint="eastAsia" w:ascii="宋体" w:hAnsi="宋体" w:eastAsia="宋体" w:cs="宋体"/>
          <w:sz w:val="28"/>
          <w:szCs w:val="36"/>
          <w:highlight w:val="none"/>
          <w:lang w:val="zh-CN"/>
        </w:rPr>
        <w:instrText xml:space="preserve"> HYPERLINK \l _Toc19172 </w:instrText>
      </w:r>
      <w:r>
        <w:rPr>
          <w:rFonts w:hint="eastAsia" w:ascii="宋体" w:hAnsi="宋体" w:eastAsia="宋体" w:cs="宋体"/>
          <w:sz w:val="28"/>
          <w:szCs w:val="36"/>
          <w:highlight w:val="none"/>
          <w:lang w:val="zh-CN"/>
        </w:rPr>
        <w:fldChar w:fldCharType="separate"/>
      </w:r>
      <w:r>
        <w:rPr>
          <w:rFonts w:hint="eastAsia"/>
          <w:sz w:val="28"/>
          <w:szCs w:val="48"/>
          <w:lang w:val="en-US" w:eastAsia="zh-CN"/>
        </w:rPr>
        <w:t>第二章 投标人须知及前附表</w:t>
      </w:r>
      <w:r>
        <w:rPr>
          <w:sz w:val="28"/>
          <w:szCs w:val="24"/>
        </w:rPr>
        <w:tab/>
      </w:r>
      <w:r>
        <w:rPr>
          <w:sz w:val="28"/>
          <w:szCs w:val="24"/>
        </w:rPr>
        <w:fldChar w:fldCharType="begin"/>
      </w:r>
      <w:r>
        <w:rPr>
          <w:sz w:val="28"/>
          <w:szCs w:val="24"/>
        </w:rPr>
        <w:instrText xml:space="preserve"> PAGEREF _Toc19172 \h </w:instrText>
      </w:r>
      <w:r>
        <w:rPr>
          <w:sz w:val="28"/>
          <w:szCs w:val="24"/>
        </w:rPr>
        <w:fldChar w:fldCharType="separate"/>
      </w:r>
      <w:r>
        <w:rPr>
          <w:sz w:val="28"/>
          <w:szCs w:val="24"/>
        </w:rPr>
        <w:t>4</w:t>
      </w:r>
      <w:r>
        <w:rPr>
          <w:sz w:val="28"/>
          <w:szCs w:val="24"/>
        </w:rPr>
        <w:fldChar w:fldCharType="end"/>
      </w:r>
      <w:r>
        <w:rPr>
          <w:rFonts w:hint="eastAsia" w:ascii="宋体" w:hAnsi="宋体" w:eastAsia="宋体" w:cs="宋体"/>
          <w:color w:val="auto"/>
          <w:sz w:val="28"/>
          <w:szCs w:val="36"/>
          <w:highlight w:val="none"/>
          <w:lang w:val="zh-CN"/>
        </w:rPr>
        <w:fldChar w:fldCharType="end"/>
      </w:r>
    </w:p>
    <w:p w14:paraId="4832AF2F">
      <w:pPr>
        <w:pStyle w:val="21"/>
        <w:tabs>
          <w:tab w:val="right" w:leader="dot" w:pos="9105"/>
        </w:tabs>
        <w:spacing w:line="600" w:lineRule="auto"/>
        <w:rPr>
          <w:sz w:val="28"/>
          <w:szCs w:val="24"/>
        </w:rPr>
      </w:pPr>
      <w:r>
        <w:rPr>
          <w:rFonts w:hint="eastAsia" w:ascii="宋体" w:hAnsi="宋体" w:eastAsia="宋体" w:cs="宋体"/>
          <w:color w:val="auto"/>
          <w:sz w:val="28"/>
          <w:szCs w:val="36"/>
          <w:highlight w:val="none"/>
          <w:lang w:val="zh-CN"/>
        </w:rPr>
        <w:fldChar w:fldCharType="begin"/>
      </w:r>
      <w:r>
        <w:rPr>
          <w:rFonts w:hint="eastAsia" w:ascii="宋体" w:hAnsi="宋体" w:eastAsia="宋体" w:cs="宋体"/>
          <w:sz w:val="28"/>
          <w:szCs w:val="36"/>
          <w:highlight w:val="none"/>
          <w:lang w:val="zh-CN"/>
        </w:rPr>
        <w:instrText xml:space="preserve"> HYPERLINK \l _Toc31275 </w:instrText>
      </w:r>
      <w:r>
        <w:rPr>
          <w:rFonts w:hint="eastAsia" w:ascii="宋体" w:hAnsi="宋体" w:eastAsia="宋体" w:cs="宋体"/>
          <w:sz w:val="28"/>
          <w:szCs w:val="36"/>
          <w:highlight w:val="none"/>
          <w:lang w:val="zh-CN"/>
        </w:rPr>
        <w:fldChar w:fldCharType="separate"/>
      </w:r>
      <w:r>
        <w:rPr>
          <w:rFonts w:hint="eastAsia"/>
          <w:sz w:val="28"/>
          <w:szCs w:val="48"/>
          <w:lang w:val="zh-CN"/>
        </w:rPr>
        <w:t>第三章 评标标准和方法</w:t>
      </w:r>
      <w:r>
        <w:rPr>
          <w:sz w:val="28"/>
          <w:szCs w:val="24"/>
        </w:rPr>
        <w:tab/>
      </w:r>
      <w:r>
        <w:rPr>
          <w:sz w:val="28"/>
          <w:szCs w:val="24"/>
        </w:rPr>
        <w:fldChar w:fldCharType="begin"/>
      </w:r>
      <w:r>
        <w:rPr>
          <w:sz w:val="28"/>
          <w:szCs w:val="24"/>
        </w:rPr>
        <w:instrText xml:space="preserve"> PAGEREF _Toc31275 \h </w:instrText>
      </w:r>
      <w:r>
        <w:rPr>
          <w:sz w:val="28"/>
          <w:szCs w:val="24"/>
        </w:rPr>
        <w:fldChar w:fldCharType="separate"/>
      </w:r>
      <w:r>
        <w:rPr>
          <w:sz w:val="28"/>
          <w:szCs w:val="24"/>
        </w:rPr>
        <w:t>21</w:t>
      </w:r>
      <w:r>
        <w:rPr>
          <w:sz w:val="28"/>
          <w:szCs w:val="24"/>
        </w:rPr>
        <w:fldChar w:fldCharType="end"/>
      </w:r>
      <w:r>
        <w:rPr>
          <w:rFonts w:hint="eastAsia" w:ascii="宋体" w:hAnsi="宋体" w:eastAsia="宋体" w:cs="宋体"/>
          <w:color w:val="auto"/>
          <w:sz w:val="28"/>
          <w:szCs w:val="36"/>
          <w:highlight w:val="none"/>
          <w:lang w:val="zh-CN"/>
        </w:rPr>
        <w:fldChar w:fldCharType="end"/>
      </w:r>
    </w:p>
    <w:p w14:paraId="3F953F41">
      <w:pPr>
        <w:pStyle w:val="21"/>
        <w:tabs>
          <w:tab w:val="right" w:leader="dot" w:pos="9105"/>
        </w:tabs>
        <w:spacing w:line="600" w:lineRule="auto"/>
        <w:rPr>
          <w:sz w:val="28"/>
          <w:szCs w:val="24"/>
        </w:rPr>
      </w:pPr>
      <w:r>
        <w:rPr>
          <w:rFonts w:hint="eastAsia" w:ascii="宋体" w:hAnsi="宋体" w:eastAsia="宋体" w:cs="宋体"/>
          <w:color w:val="auto"/>
          <w:sz w:val="28"/>
          <w:szCs w:val="36"/>
          <w:highlight w:val="none"/>
          <w:lang w:val="zh-CN"/>
        </w:rPr>
        <w:fldChar w:fldCharType="begin"/>
      </w:r>
      <w:r>
        <w:rPr>
          <w:rFonts w:hint="eastAsia" w:ascii="宋体" w:hAnsi="宋体" w:eastAsia="宋体" w:cs="宋体"/>
          <w:sz w:val="28"/>
          <w:szCs w:val="36"/>
          <w:highlight w:val="none"/>
          <w:lang w:val="zh-CN"/>
        </w:rPr>
        <w:instrText xml:space="preserve"> HYPERLINK \l _Toc8039 </w:instrText>
      </w:r>
      <w:r>
        <w:rPr>
          <w:rFonts w:hint="eastAsia" w:ascii="宋体" w:hAnsi="宋体" w:eastAsia="宋体" w:cs="宋体"/>
          <w:sz w:val="28"/>
          <w:szCs w:val="36"/>
          <w:highlight w:val="none"/>
          <w:lang w:val="zh-CN"/>
        </w:rPr>
        <w:fldChar w:fldCharType="separate"/>
      </w:r>
      <w:r>
        <w:rPr>
          <w:rFonts w:hint="eastAsia"/>
          <w:sz w:val="28"/>
          <w:szCs w:val="48"/>
          <w:lang w:val="zh-CN"/>
        </w:rPr>
        <w:t>第四章 合同条款</w:t>
      </w:r>
      <w:r>
        <w:rPr>
          <w:sz w:val="28"/>
          <w:szCs w:val="24"/>
        </w:rPr>
        <w:tab/>
      </w:r>
      <w:r>
        <w:rPr>
          <w:sz w:val="28"/>
          <w:szCs w:val="24"/>
        </w:rPr>
        <w:fldChar w:fldCharType="begin"/>
      </w:r>
      <w:r>
        <w:rPr>
          <w:sz w:val="28"/>
          <w:szCs w:val="24"/>
        </w:rPr>
        <w:instrText xml:space="preserve"> PAGEREF _Toc8039 \h </w:instrText>
      </w:r>
      <w:r>
        <w:rPr>
          <w:sz w:val="28"/>
          <w:szCs w:val="24"/>
        </w:rPr>
        <w:fldChar w:fldCharType="separate"/>
      </w:r>
      <w:r>
        <w:rPr>
          <w:sz w:val="28"/>
          <w:szCs w:val="24"/>
        </w:rPr>
        <w:t>56</w:t>
      </w:r>
      <w:r>
        <w:rPr>
          <w:sz w:val="28"/>
          <w:szCs w:val="24"/>
        </w:rPr>
        <w:fldChar w:fldCharType="end"/>
      </w:r>
      <w:r>
        <w:rPr>
          <w:rFonts w:hint="eastAsia" w:ascii="宋体" w:hAnsi="宋体" w:eastAsia="宋体" w:cs="宋体"/>
          <w:color w:val="auto"/>
          <w:sz w:val="28"/>
          <w:szCs w:val="36"/>
          <w:highlight w:val="none"/>
          <w:lang w:val="zh-CN"/>
        </w:rPr>
        <w:fldChar w:fldCharType="end"/>
      </w:r>
    </w:p>
    <w:p w14:paraId="0156A115">
      <w:pPr>
        <w:pStyle w:val="21"/>
        <w:tabs>
          <w:tab w:val="right" w:leader="dot" w:pos="9105"/>
        </w:tabs>
        <w:spacing w:line="600" w:lineRule="auto"/>
        <w:rPr>
          <w:sz w:val="28"/>
          <w:szCs w:val="24"/>
        </w:rPr>
      </w:pPr>
      <w:r>
        <w:rPr>
          <w:rFonts w:hint="eastAsia" w:ascii="宋体" w:hAnsi="宋体" w:eastAsia="宋体" w:cs="宋体"/>
          <w:color w:val="auto"/>
          <w:sz w:val="28"/>
          <w:szCs w:val="36"/>
          <w:highlight w:val="none"/>
          <w:lang w:val="zh-CN"/>
        </w:rPr>
        <w:fldChar w:fldCharType="begin"/>
      </w:r>
      <w:r>
        <w:rPr>
          <w:rFonts w:hint="eastAsia" w:ascii="宋体" w:hAnsi="宋体" w:eastAsia="宋体" w:cs="宋体"/>
          <w:sz w:val="28"/>
          <w:szCs w:val="36"/>
          <w:highlight w:val="none"/>
          <w:lang w:val="zh-CN"/>
        </w:rPr>
        <w:instrText xml:space="preserve"> HYPERLINK \l _Toc11818 </w:instrText>
      </w:r>
      <w:r>
        <w:rPr>
          <w:rFonts w:hint="eastAsia" w:ascii="宋体" w:hAnsi="宋体" w:eastAsia="宋体" w:cs="宋体"/>
          <w:sz w:val="28"/>
          <w:szCs w:val="36"/>
          <w:highlight w:val="none"/>
          <w:lang w:val="zh-CN"/>
        </w:rPr>
        <w:fldChar w:fldCharType="separate"/>
      </w:r>
      <w:r>
        <w:rPr>
          <w:rFonts w:hint="eastAsia" w:ascii="宋体" w:hAnsi="宋体" w:eastAsia="宋体" w:cs="宋体"/>
          <w:sz w:val="28"/>
          <w:szCs w:val="48"/>
        </w:rPr>
        <w:t xml:space="preserve">第五章 </w:t>
      </w:r>
      <w:r>
        <w:rPr>
          <w:rFonts w:hint="eastAsia"/>
          <w:sz w:val="28"/>
          <w:szCs w:val="48"/>
          <w:lang w:val="zh-CN"/>
        </w:rPr>
        <w:t>采购需求及技术规格要求</w:t>
      </w:r>
      <w:r>
        <w:rPr>
          <w:sz w:val="28"/>
          <w:szCs w:val="24"/>
        </w:rPr>
        <w:tab/>
      </w:r>
      <w:r>
        <w:rPr>
          <w:sz w:val="28"/>
          <w:szCs w:val="24"/>
        </w:rPr>
        <w:fldChar w:fldCharType="begin"/>
      </w:r>
      <w:r>
        <w:rPr>
          <w:sz w:val="28"/>
          <w:szCs w:val="24"/>
        </w:rPr>
        <w:instrText xml:space="preserve"> PAGEREF _Toc11818 \h </w:instrText>
      </w:r>
      <w:r>
        <w:rPr>
          <w:sz w:val="28"/>
          <w:szCs w:val="24"/>
        </w:rPr>
        <w:fldChar w:fldCharType="separate"/>
      </w:r>
      <w:r>
        <w:rPr>
          <w:sz w:val="28"/>
          <w:szCs w:val="24"/>
        </w:rPr>
        <w:t>73</w:t>
      </w:r>
      <w:r>
        <w:rPr>
          <w:sz w:val="28"/>
          <w:szCs w:val="24"/>
        </w:rPr>
        <w:fldChar w:fldCharType="end"/>
      </w:r>
      <w:r>
        <w:rPr>
          <w:rFonts w:hint="eastAsia" w:ascii="宋体" w:hAnsi="宋体" w:eastAsia="宋体" w:cs="宋体"/>
          <w:color w:val="auto"/>
          <w:sz w:val="28"/>
          <w:szCs w:val="36"/>
          <w:highlight w:val="none"/>
          <w:lang w:val="zh-CN"/>
        </w:rPr>
        <w:fldChar w:fldCharType="end"/>
      </w:r>
    </w:p>
    <w:p w14:paraId="0E15CA3B">
      <w:pPr>
        <w:pStyle w:val="21"/>
        <w:tabs>
          <w:tab w:val="right" w:leader="dot" w:pos="9105"/>
        </w:tabs>
        <w:spacing w:line="600" w:lineRule="auto"/>
      </w:pPr>
      <w:r>
        <w:rPr>
          <w:rFonts w:hint="eastAsia" w:ascii="宋体" w:hAnsi="宋体" w:eastAsia="宋体" w:cs="宋体"/>
          <w:color w:val="auto"/>
          <w:sz w:val="28"/>
          <w:szCs w:val="36"/>
          <w:highlight w:val="none"/>
          <w:lang w:val="zh-CN"/>
        </w:rPr>
        <w:fldChar w:fldCharType="begin"/>
      </w:r>
      <w:r>
        <w:rPr>
          <w:rFonts w:hint="eastAsia" w:ascii="宋体" w:hAnsi="宋体" w:eastAsia="宋体" w:cs="宋体"/>
          <w:sz w:val="28"/>
          <w:szCs w:val="36"/>
          <w:highlight w:val="none"/>
          <w:lang w:val="zh-CN"/>
        </w:rPr>
        <w:instrText xml:space="preserve"> HYPERLINK \l _Toc31742 </w:instrText>
      </w:r>
      <w:r>
        <w:rPr>
          <w:rFonts w:hint="eastAsia" w:ascii="宋体" w:hAnsi="宋体" w:eastAsia="宋体" w:cs="宋体"/>
          <w:sz w:val="28"/>
          <w:szCs w:val="36"/>
          <w:highlight w:val="none"/>
          <w:lang w:val="zh-CN"/>
        </w:rPr>
        <w:fldChar w:fldCharType="separate"/>
      </w:r>
      <w:r>
        <w:rPr>
          <w:rFonts w:hint="eastAsia"/>
          <w:bCs/>
          <w:sz w:val="28"/>
          <w:szCs w:val="48"/>
          <w:lang w:val="zh-CN"/>
        </w:rPr>
        <w:t>第</w:t>
      </w:r>
      <w:r>
        <w:rPr>
          <w:rFonts w:hint="eastAsia"/>
          <w:bCs/>
          <w:sz w:val="28"/>
          <w:szCs w:val="48"/>
          <w:lang w:val="en-US"/>
        </w:rPr>
        <w:t>六</w:t>
      </w:r>
      <w:r>
        <w:rPr>
          <w:rFonts w:hint="eastAsia"/>
          <w:bCs/>
          <w:sz w:val="28"/>
          <w:szCs w:val="48"/>
          <w:lang w:val="zh-CN"/>
        </w:rPr>
        <w:t>章 投标文件构成、要求及格式</w:t>
      </w:r>
      <w:r>
        <w:rPr>
          <w:sz w:val="28"/>
          <w:szCs w:val="24"/>
        </w:rPr>
        <w:tab/>
      </w:r>
      <w:r>
        <w:rPr>
          <w:sz w:val="28"/>
          <w:szCs w:val="24"/>
        </w:rPr>
        <w:fldChar w:fldCharType="begin"/>
      </w:r>
      <w:r>
        <w:rPr>
          <w:sz w:val="28"/>
          <w:szCs w:val="24"/>
        </w:rPr>
        <w:instrText xml:space="preserve"> PAGEREF _Toc31742 \h </w:instrText>
      </w:r>
      <w:r>
        <w:rPr>
          <w:sz w:val="28"/>
          <w:szCs w:val="24"/>
        </w:rPr>
        <w:fldChar w:fldCharType="separate"/>
      </w:r>
      <w:r>
        <w:rPr>
          <w:sz w:val="28"/>
          <w:szCs w:val="24"/>
        </w:rPr>
        <w:t>84</w:t>
      </w:r>
      <w:r>
        <w:rPr>
          <w:sz w:val="28"/>
          <w:szCs w:val="24"/>
        </w:rPr>
        <w:fldChar w:fldCharType="end"/>
      </w:r>
      <w:r>
        <w:rPr>
          <w:rFonts w:hint="eastAsia" w:ascii="宋体" w:hAnsi="宋体" w:eastAsia="宋体" w:cs="宋体"/>
          <w:color w:val="auto"/>
          <w:sz w:val="28"/>
          <w:szCs w:val="36"/>
          <w:highlight w:val="none"/>
          <w:lang w:val="zh-CN"/>
        </w:rPr>
        <w:fldChar w:fldCharType="end"/>
      </w:r>
    </w:p>
    <w:p w14:paraId="2FDDBB8E">
      <w:pPr>
        <w:autoSpaceDE w:val="0"/>
        <w:autoSpaceDN w:val="0"/>
        <w:adjustRightInd w:val="0"/>
        <w:snapToGrid w:val="0"/>
        <w:spacing w:before="156" w:beforeLines="50" w:after="156" w:afterLines="50" w:line="480" w:lineRule="auto"/>
        <w:ind w:firstLine="420" w:firstLineChars="200"/>
        <w:jc w:val="center"/>
        <w:rPr>
          <w:rFonts w:hint="eastAsia" w:ascii="宋体" w:hAnsi="宋体" w:eastAsia="宋体" w:cs="宋体"/>
          <w:b/>
          <w:color w:val="auto"/>
          <w:highlight w:val="none"/>
          <w:lang w:val="zh-CN"/>
        </w:rPr>
      </w:pPr>
      <w:r>
        <w:rPr>
          <w:rFonts w:hint="eastAsia" w:ascii="宋体" w:hAnsi="宋体" w:eastAsia="宋体" w:cs="宋体"/>
          <w:color w:val="auto"/>
          <w:szCs w:val="24"/>
          <w:highlight w:val="none"/>
          <w:lang w:val="zh-CN"/>
        </w:rPr>
        <w:fldChar w:fldCharType="end"/>
      </w:r>
    </w:p>
    <w:p w14:paraId="0BCA32B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4D7B6E5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FB6BF7E">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0323F3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46F252D">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7A63DE4">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EE9AF9E">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CC97CCE">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73DE76E2">
      <w:pPr>
        <w:pStyle w:val="2"/>
        <w:bidi w:val="0"/>
        <w:spacing w:line="240" w:lineRule="auto"/>
        <w:jc w:val="center"/>
        <w:rPr>
          <w:rFonts w:hint="eastAsia"/>
          <w:color w:val="auto"/>
          <w:sz w:val="36"/>
          <w:szCs w:val="36"/>
        </w:rPr>
        <w:sectPr>
          <w:footerReference r:id="rId6" w:type="first"/>
          <w:footerReference r:id="rId5" w:type="default"/>
          <w:pgSz w:w="11906" w:h="16838"/>
          <w:pgMar w:top="1814" w:right="1361" w:bottom="1701" w:left="1440" w:header="850" w:footer="992" w:gutter="0"/>
          <w:pgNumType w:fmt="decimal" w:start="1"/>
          <w:cols w:space="720" w:num="1"/>
          <w:titlePg/>
          <w:rtlGutter w:val="0"/>
          <w:docGrid w:type="lines" w:linePitch="317" w:charSpace="0"/>
        </w:sectPr>
      </w:pPr>
      <w:bookmarkStart w:id="0" w:name="_Toc460776562"/>
    </w:p>
    <w:p w14:paraId="7DB11840">
      <w:pPr>
        <w:pStyle w:val="2"/>
        <w:bidi w:val="0"/>
        <w:spacing w:line="240" w:lineRule="auto"/>
        <w:jc w:val="center"/>
        <w:rPr>
          <w:rFonts w:hint="default"/>
          <w:color w:val="auto"/>
          <w:sz w:val="36"/>
          <w:szCs w:val="36"/>
          <w:lang w:val="en-US"/>
        </w:rPr>
      </w:pPr>
      <w:bookmarkStart w:id="1" w:name="_Toc10548"/>
      <w:r>
        <w:rPr>
          <w:rFonts w:hint="eastAsia"/>
          <w:color w:val="auto"/>
          <w:sz w:val="36"/>
          <w:szCs w:val="36"/>
        </w:rPr>
        <w:t xml:space="preserve">第一章 </w:t>
      </w:r>
      <w:bookmarkEnd w:id="0"/>
      <w:r>
        <w:rPr>
          <w:rFonts w:hint="eastAsia"/>
          <w:color w:val="auto"/>
          <w:sz w:val="36"/>
          <w:szCs w:val="36"/>
          <w:lang w:eastAsia="zh-CN"/>
        </w:rPr>
        <w:t>招标公告</w:t>
      </w:r>
      <w:bookmarkEnd w:id="1"/>
    </w:p>
    <w:p w14:paraId="1FAA997B">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bCs/>
          <w:color w:val="auto"/>
          <w:szCs w:val="21"/>
          <w:highlight w:val="none"/>
        </w:rPr>
      </w:pPr>
      <w:bookmarkStart w:id="2" w:name="_Toc238185761"/>
      <w:r>
        <w:rPr>
          <w:rFonts w:hint="eastAsia" w:ascii="宋体" w:hAnsi="宋体" w:eastAsia="宋体" w:cs="宋体"/>
          <w:b/>
          <w:bCs/>
          <w:color w:val="auto"/>
          <w:szCs w:val="21"/>
          <w:highlight w:val="none"/>
        </w:rPr>
        <w:t>项目概况</w:t>
      </w:r>
    </w:p>
    <w:p w14:paraId="4178BE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吉林省公安厅“ZJGC"项目的潜在投标人应在</w:t>
      </w:r>
      <w:r>
        <w:rPr>
          <w:rFonts w:hint="eastAsia" w:ascii="宋体" w:hAnsi="宋体" w:eastAsia="宋体" w:cs="宋体"/>
          <w:color w:val="auto"/>
          <w:sz w:val="21"/>
          <w:szCs w:val="21"/>
          <w:highlight w:val="none"/>
          <w:lang w:eastAsia="zh-CN"/>
        </w:rPr>
        <w:t>“政采云”平台（网址：http://www.zcygov.cn）</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Cs w:val="22"/>
          <w:highlight w:val="none"/>
          <w:lang w:eastAsia="zh-CN"/>
        </w:rPr>
        <w:t>，并于</w:t>
      </w:r>
      <w:r>
        <w:rPr>
          <w:rFonts w:hint="eastAsia" w:ascii="宋体" w:hAnsi="宋体" w:cs="宋体"/>
          <w:color w:val="auto"/>
          <w:szCs w:val="22"/>
          <w:highlight w:val="none"/>
          <w:lang w:eastAsia="zh-CN"/>
        </w:rPr>
        <w:t>2026年06月04日9:00</w:t>
      </w:r>
      <w:r>
        <w:rPr>
          <w:rFonts w:hint="eastAsia" w:ascii="宋体" w:hAnsi="宋体" w:eastAsia="宋体" w:cs="宋体"/>
          <w:color w:val="auto"/>
          <w:szCs w:val="22"/>
          <w:highlight w:val="none"/>
          <w:lang w:eastAsia="zh-CN"/>
        </w:rPr>
        <w:t>（北京时间）前递交投标文件。</w:t>
      </w:r>
    </w:p>
    <w:p w14:paraId="440781F9">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项目基本情况</w:t>
      </w:r>
    </w:p>
    <w:p w14:paraId="7B6803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项目编号：</w:t>
      </w:r>
      <w:r>
        <w:rPr>
          <w:rFonts w:hint="eastAsia" w:ascii="宋体" w:hAnsi="宋体" w:cs="宋体"/>
          <w:color w:val="auto"/>
          <w:szCs w:val="22"/>
          <w:highlight w:val="none"/>
          <w:lang w:eastAsia="zh-CN"/>
        </w:rPr>
        <w:t>采购计划-[2026]-07476号</w:t>
      </w:r>
      <w:r>
        <w:rPr>
          <w:rFonts w:hint="eastAsia" w:ascii="宋体" w:hAnsi="宋体" w:eastAsia="宋体" w:cs="宋体"/>
          <w:color w:val="auto"/>
          <w:szCs w:val="22"/>
          <w:highlight w:val="none"/>
          <w:lang w:val="en-US" w:eastAsia="zh-CN"/>
        </w:rPr>
        <w:t>-</w:t>
      </w:r>
      <w:r>
        <w:rPr>
          <w:rFonts w:hint="eastAsia" w:ascii="宋体" w:hAnsi="宋体" w:cs="宋体"/>
          <w:color w:val="auto"/>
          <w:szCs w:val="22"/>
          <w:highlight w:val="none"/>
          <w:lang w:eastAsia="zh-CN"/>
        </w:rPr>
        <w:t>ZZ60827HW04310038</w:t>
      </w:r>
    </w:p>
    <w:p w14:paraId="48BD509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政府采购计划编号：</w:t>
      </w:r>
      <w:r>
        <w:rPr>
          <w:rFonts w:hint="eastAsia" w:ascii="宋体" w:hAnsi="宋体" w:cs="宋体"/>
          <w:color w:val="auto"/>
          <w:szCs w:val="22"/>
          <w:highlight w:val="none"/>
          <w:lang w:eastAsia="zh-CN"/>
        </w:rPr>
        <w:t>采购计划-[2026]-07476号</w:t>
      </w:r>
    </w:p>
    <w:p w14:paraId="48D375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采购方式：公开招标</w:t>
      </w:r>
    </w:p>
    <w:p w14:paraId="5151868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项目名称：吉林省公安厅“ZJGC"项目</w:t>
      </w:r>
    </w:p>
    <w:p w14:paraId="694F13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预算金额：</w:t>
      </w:r>
      <w:r>
        <w:rPr>
          <w:rFonts w:hint="eastAsia" w:ascii="宋体" w:hAnsi="宋体" w:eastAsia="宋体" w:cs="宋体"/>
          <w:color w:val="auto"/>
          <w:szCs w:val="22"/>
          <w:highlight w:val="none"/>
          <w:lang w:val="en-US" w:eastAsia="zh-CN"/>
        </w:rPr>
        <w:t>11594680元</w:t>
      </w:r>
      <w:r>
        <w:rPr>
          <w:rFonts w:hint="eastAsia" w:ascii="宋体" w:hAnsi="宋体" w:eastAsia="宋体" w:cs="宋体"/>
          <w:color w:val="auto"/>
          <w:szCs w:val="22"/>
          <w:highlight w:val="none"/>
          <w:lang w:eastAsia="zh-CN"/>
        </w:rPr>
        <w:t>。</w:t>
      </w:r>
    </w:p>
    <w:p w14:paraId="431D524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最高限价：</w:t>
      </w:r>
      <w:r>
        <w:rPr>
          <w:rFonts w:hint="eastAsia" w:ascii="宋体" w:hAnsi="宋体" w:eastAsia="宋体" w:cs="宋体"/>
          <w:color w:val="auto"/>
          <w:szCs w:val="22"/>
          <w:highlight w:val="none"/>
          <w:lang w:val="en-US" w:eastAsia="zh-CN"/>
        </w:rPr>
        <w:t>“ZJGC"一标段</w:t>
      </w:r>
      <w:r>
        <w:rPr>
          <w:rFonts w:hint="eastAsia" w:asciiTheme="majorEastAsia" w:hAnsiTheme="majorEastAsia" w:eastAsiaTheme="majorEastAsia" w:cstheme="majorEastAsia"/>
          <w:color w:val="auto"/>
          <w:sz w:val="21"/>
          <w:szCs w:val="21"/>
          <w:highlight w:val="none"/>
          <w:lang w:val="en-US" w:eastAsia="zh-CN"/>
        </w:rPr>
        <w:t>8359000元；“ZJGC"二标段项目3235680元</w:t>
      </w:r>
      <w:r>
        <w:rPr>
          <w:rFonts w:hint="eastAsia" w:ascii="宋体" w:hAnsi="宋体" w:eastAsia="宋体" w:cs="宋体"/>
          <w:color w:val="auto"/>
          <w:szCs w:val="22"/>
          <w:highlight w:val="none"/>
          <w:lang w:eastAsia="zh-CN"/>
        </w:rPr>
        <w:t>。</w:t>
      </w:r>
    </w:p>
    <w:p w14:paraId="0AE9CC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采购需求：物证检验鉴定设备采购（详见招标文件“第五章 采购需求及技术规格要求”）。</w:t>
      </w:r>
    </w:p>
    <w:p w14:paraId="41F3BC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交货地点：长春市朝阳区工农大路605号。</w:t>
      </w:r>
    </w:p>
    <w:p w14:paraId="2C4FED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合同履行期限（交货期）：</w:t>
      </w:r>
      <w:r>
        <w:rPr>
          <w:rFonts w:hint="eastAsia" w:ascii="宋体" w:hAnsi="宋体" w:cs="宋体"/>
          <w:color w:val="auto"/>
          <w:szCs w:val="22"/>
          <w:highlight w:val="none"/>
          <w:lang w:eastAsia="zh-CN"/>
        </w:rPr>
        <w:t>合同订立后60日内，将全部货物送至长春市朝阳区工农大路605号，并且质保符合要求。如果供方没有按照合同规定的时间交货和提供服务，供方应向需方支付误期赔偿费。误期赔偿费每周按迟交货物的交货价或延期服务的服务费用的百分之一计收，直至交货或提供服务为止。一周按七天计算，不足七天按一周计算。但误期赔偿费的最高限额不超过合同价的百分之五。误期赔偿费可从应付货款和/或履约保证金中扣除。收取误期赔偿费不影响需方采取合同规定的其他补救措施的权利。在收取误期赔偿费期间，需方有权决定是否终止合同。</w:t>
      </w:r>
    </w:p>
    <w:p w14:paraId="02ADC4F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质量标准：符合国家及行业标准及招标文件要求。</w:t>
      </w:r>
    </w:p>
    <w:p w14:paraId="64105BA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本项目不接受联合体投标。</w:t>
      </w:r>
    </w:p>
    <w:p w14:paraId="4162ACC3">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bCs/>
          <w:color w:val="auto"/>
          <w:szCs w:val="21"/>
          <w:highlight w:val="none"/>
          <w:lang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、申请人的资格要求</w:t>
      </w:r>
    </w:p>
    <w:p w14:paraId="776509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1</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投标人须符合《中华人民共和国政府采购法》第二十二条规定。</w:t>
      </w:r>
    </w:p>
    <w:p w14:paraId="0BE877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2</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落实政府采购政策需满足的资格要求：根据《政府采购促进中小企业发展管理办法》（财库〔2020〕46号）规定，本项目专门面向中小企业采购，供应商应出具合格的《中小企业声明函》。</w:t>
      </w:r>
    </w:p>
    <w:p w14:paraId="0A50D0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3</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本项目的特定资格要求：</w:t>
      </w:r>
    </w:p>
    <w:p w14:paraId="40A34D3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3.</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lang w:eastAsia="zh-CN"/>
        </w:rPr>
        <w:t>投标人是在中华人民共和国境内注册的法人单位或其他组织，并在人员、设备、资金等方面具备相应的供货能力。</w:t>
      </w:r>
    </w:p>
    <w:p w14:paraId="3E51C901">
      <w:pPr>
        <w:pStyle w:val="32"/>
        <w:keepNext w:val="0"/>
        <w:keepLines w:val="0"/>
        <w:pageBreakBefore w:val="0"/>
        <w:widowControl w:val="0"/>
        <w:tabs>
          <w:tab w:val="left" w:pos="360"/>
        </w:tabs>
        <w:kinsoku/>
        <w:wordWrap/>
        <w:overflowPunct/>
        <w:topLinePunct w:val="0"/>
        <w:bidi w:val="0"/>
        <w:snapToGrid/>
        <w:spacing w:after="0" w:line="360" w:lineRule="exact"/>
        <w:ind w:left="0" w:leftChars="0" w:firstLine="420" w:firstLineChars="200"/>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宋体" w:hAnsi="宋体" w:cs="宋体"/>
          <w:color w:val="auto"/>
          <w:szCs w:val="22"/>
          <w:highlight w:val="none"/>
          <w:lang w:val="en-US" w:eastAsia="zh-CN"/>
        </w:rPr>
        <w:t>3.2</w:t>
      </w:r>
      <w:r>
        <w:rPr>
          <w:rFonts w:hint="eastAsia" w:asciiTheme="majorEastAsia" w:hAnsiTheme="majorEastAsia" w:eastAsiaTheme="majorEastAsia" w:cstheme="majorEastAsia"/>
          <w:bCs/>
          <w:color w:val="auto"/>
          <w:kern w:val="2"/>
          <w:sz w:val="21"/>
          <w:szCs w:val="21"/>
          <w:highlight w:val="none"/>
          <w:lang w:val="en-US" w:eastAsia="zh-CN" w:bidi="ar-SA"/>
        </w:rPr>
        <w:t>一标段投标人为生产企业，应取得食品药品监督管理部门颁发的《第一类医疗器械生产备案凭证》（含核酸分离纯化类）；</w:t>
      </w:r>
    </w:p>
    <w:p w14:paraId="72E8A1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auto"/>
          <w:szCs w:val="22"/>
          <w:highlight w:val="none"/>
          <w:lang w:val="en-US" w:eastAsia="zh-CN"/>
        </w:rPr>
      </w:pPr>
      <w:r>
        <w:rPr>
          <w:rFonts w:hint="eastAsia" w:asciiTheme="majorEastAsia" w:hAnsiTheme="majorEastAsia" w:eastAsiaTheme="majorEastAsia" w:cstheme="majorEastAsia"/>
          <w:bCs/>
          <w:color w:val="auto"/>
          <w:kern w:val="2"/>
          <w:sz w:val="21"/>
          <w:szCs w:val="21"/>
          <w:highlight w:val="none"/>
          <w:lang w:val="en-US" w:eastAsia="zh-CN" w:bidi="ar-SA"/>
        </w:rPr>
        <w:t>一标段投标人为经营企业，应提供制造商的食品药品监督管理部门颁发的《第一类医疗器械生产备案凭证》（含核酸分离纯化类）</w:t>
      </w:r>
    </w:p>
    <w:p w14:paraId="58A80F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3.</w:t>
      </w:r>
      <w:r>
        <w:rPr>
          <w:rFonts w:hint="eastAsia" w:ascii="宋体" w:hAnsi="宋体" w:cs="宋体"/>
          <w:color w:val="auto"/>
          <w:szCs w:val="22"/>
          <w:highlight w:val="none"/>
          <w:lang w:val="en-US" w:eastAsia="zh-CN"/>
        </w:rPr>
        <w:t>3</w:t>
      </w:r>
      <w:r>
        <w:rPr>
          <w:rFonts w:hint="eastAsia" w:ascii="宋体" w:hAnsi="宋体" w:eastAsia="宋体" w:cs="宋体"/>
          <w:color w:val="auto"/>
          <w:szCs w:val="22"/>
          <w:highlight w:val="none"/>
          <w:lang w:val="en-US" w:eastAsia="zh-CN"/>
        </w:rPr>
        <w:t>信誉要求：</w:t>
      </w:r>
    </w:p>
    <w:p w14:paraId="1B689B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（1）不接受列入政府取消投标资格记录期间的企业或个人参加投标。</w:t>
      </w:r>
    </w:p>
    <w:p w14:paraId="5C5403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供应商不得为“信用中国”网站（www.creditchina.gov.cn）中列入失信被执行人和重大税收违法失信主体的投标人，不得为中国政府采购网（www.ccgp.gov.cn）政府采购严重违法失信行为记录名单中被财政部门禁止参加政府采购活动的投标人（在处罚决定规定的时间和地域范围内）（详见财库【2016】125号文）。</w:t>
      </w:r>
    </w:p>
    <w:p w14:paraId="57A327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（3）供应商未被工商行政管理机关在全国企业信用信息公示系统（www.gsxt.gov.cn）中列入严重违法失信企业名单；</w:t>
      </w:r>
    </w:p>
    <w:p w14:paraId="7ECDF6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（4）供应商近三年（2023年1月1日至今）内在中国裁判文书网（wenshu.court.gov.cn）无行贿犯罪记录。</w:t>
      </w:r>
    </w:p>
    <w:p w14:paraId="043398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w:t>
      </w:r>
      <w:r>
        <w:rPr>
          <w:rFonts w:hint="eastAsia" w:ascii="宋体" w:hAnsi="宋体" w:cs="宋体"/>
          <w:color w:val="auto"/>
          <w:szCs w:val="22"/>
          <w:highlight w:val="none"/>
          <w:lang w:val="en-US" w:eastAsia="zh-CN"/>
        </w:rPr>
        <w:t>4</w:t>
      </w:r>
      <w:r>
        <w:rPr>
          <w:rFonts w:hint="eastAsia" w:ascii="宋体" w:hAnsi="宋体" w:eastAsia="宋体" w:cs="宋体"/>
          <w:color w:val="auto"/>
          <w:szCs w:val="22"/>
          <w:highlight w:val="none"/>
          <w:lang w:val="en-US" w:eastAsia="zh-CN"/>
        </w:rPr>
        <w:t>其他要求：与采购人存在利害关系可能影响采购公正性的法人、其它组织或者个人，不得参加投标；单位负责人为同一人或者存在直接控股、管理关系的不同投标人，不得参加同一合同项下的政府采购活动。否则相关投标无效。</w:t>
      </w:r>
    </w:p>
    <w:p w14:paraId="49EF543D">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、获取</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文件</w:t>
      </w:r>
    </w:p>
    <w:p w14:paraId="0CB291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1.时间：2026年05月13日至2026年05月20日 每日上午：00:00:00至12:00:00 下午：12:00:00至23:59:59（北京时间，法定节假日除外）；</w:t>
      </w:r>
    </w:p>
    <w:p w14:paraId="2C57FD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2.方式：潜在投标人自行登录“政采云”平台（网址：http:// www.zcygov.cn）按要求下载采购文件（操作路径：登录“政采云”平台-项目采购-获取采购文件-找到本项目-点击“申请获取采购文件”），其他途径获取的采购文件开标时一律按无效投标处理；</w:t>
      </w:r>
    </w:p>
    <w:p w14:paraId="6A6474A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zh-CN" w:eastAsia="zh-CN"/>
        </w:rPr>
        <w:t>售价：0元。</w:t>
      </w:r>
      <w:r>
        <w:rPr>
          <w:rFonts w:hint="eastAsia" w:ascii="宋体" w:hAnsi="宋体" w:eastAsia="宋体" w:cs="宋体"/>
          <w:color w:val="auto"/>
          <w:szCs w:val="22"/>
          <w:highlight w:val="none"/>
          <w:lang w:val="en-US" w:eastAsia="zh-CN"/>
        </w:rPr>
        <w:t xml:space="preserve"> </w:t>
      </w:r>
    </w:p>
    <w:p w14:paraId="38B3DA45">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、提交投标文件截止时间、开标时间和地点</w:t>
      </w:r>
    </w:p>
    <w:p w14:paraId="2B7419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1.截止时间：</w:t>
      </w:r>
      <w:r>
        <w:rPr>
          <w:rFonts w:hint="eastAsia" w:ascii="宋体" w:hAnsi="宋体" w:cs="宋体"/>
          <w:color w:val="auto"/>
          <w:szCs w:val="22"/>
          <w:highlight w:val="none"/>
          <w:lang w:eastAsia="zh-CN"/>
        </w:rPr>
        <w:t>2026年06月04日9:00</w:t>
      </w:r>
      <w:r>
        <w:rPr>
          <w:rFonts w:hint="eastAsia" w:ascii="宋体" w:hAnsi="宋体" w:eastAsia="宋体" w:cs="宋体"/>
          <w:color w:val="auto"/>
          <w:szCs w:val="22"/>
          <w:highlight w:val="none"/>
          <w:lang w:eastAsia="zh-CN"/>
        </w:rPr>
        <w:t>（北京时间）</w:t>
      </w:r>
      <w:r>
        <w:rPr>
          <w:rFonts w:hint="eastAsia" w:ascii="宋体" w:hAnsi="宋体" w:eastAsia="宋体" w:cs="宋体"/>
          <w:color w:val="auto"/>
          <w:szCs w:val="22"/>
          <w:highlight w:val="none"/>
          <w:lang w:val="en-US" w:eastAsia="zh-CN"/>
        </w:rPr>
        <w:t>；</w:t>
      </w:r>
    </w:p>
    <w:p w14:paraId="5A753D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2.地点：长春市二道区洋浦大街凯利中心AB栋101室</w:t>
      </w:r>
      <w:r>
        <w:rPr>
          <w:rFonts w:hint="eastAsia" w:ascii="宋体" w:hAnsi="宋体" w:cs="宋体"/>
          <w:color w:val="auto"/>
          <w:szCs w:val="22"/>
          <w:highlight w:val="none"/>
          <w:lang w:val="en-US" w:eastAsia="zh-CN"/>
        </w:rPr>
        <w:t>开标一室</w:t>
      </w:r>
      <w:r>
        <w:rPr>
          <w:rFonts w:hint="eastAsia" w:ascii="宋体" w:hAnsi="宋体" w:eastAsia="宋体" w:cs="宋体"/>
          <w:color w:val="auto"/>
          <w:szCs w:val="22"/>
          <w:highlight w:val="none"/>
          <w:lang w:val="en-US" w:eastAsia="zh-CN"/>
        </w:rPr>
        <w:t>；</w:t>
      </w:r>
    </w:p>
    <w:p w14:paraId="79EAD0C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3.</w:t>
      </w:r>
      <w:r>
        <w:rPr>
          <w:rFonts w:hint="eastAsia" w:ascii="宋体" w:hAnsi="宋体" w:eastAsia="宋体" w:cs="宋体"/>
          <w:color w:val="auto"/>
          <w:szCs w:val="22"/>
          <w:highlight w:val="none"/>
          <w:lang w:val="zh-CN" w:eastAsia="zh-CN"/>
        </w:rPr>
        <w:t>提交方式：本项目为全流程电子化项目，通过“政采云”平台（http：//www.zcygov.cn）实行在线电子投标，投标人应先安装“政采云投标客户端”（请自行前往“政采云”平台进行下载），并按照本项目采购文件和“政采云”平台的要求编制、加密后在投标文件截止时间前通过网络上传至“政采云”平台，投标人在“政采云”平台提交电子版投标文件时，请填写参加采购活动经办人联系方式。电子投标文件解密期限及方式：开启时间后30分钟内，由投标人持制作该电子投标文件的同一数字证书（CA锁）及电脑进行远程解密（各投标人在开标前及网上开评标系统公布投标人名单前，不要提前进行远程解密）。</w:t>
      </w:r>
    </w:p>
    <w:p w14:paraId="63F5E99B">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五、公告期限</w:t>
      </w:r>
    </w:p>
    <w:p w14:paraId="6844FD4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公告期限：自本招标公告发布之日起</w:t>
      </w:r>
      <w:r>
        <w:rPr>
          <w:rFonts w:hint="eastAsia" w:ascii="宋体" w:hAnsi="宋体" w:eastAsia="宋体" w:cs="宋体"/>
          <w:color w:val="auto"/>
          <w:szCs w:val="22"/>
          <w:highlight w:val="none"/>
          <w:lang w:val="en-US" w:eastAsia="zh-CN"/>
        </w:rPr>
        <w:t>5个工作日</w:t>
      </w:r>
    </w:p>
    <w:p w14:paraId="467EC7CE">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六、其他补充事宜</w:t>
      </w:r>
    </w:p>
    <w:p w14:paraId="6A79286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1.</w:t>
      </w:r>
      <w:r>
        <w:rPr>
          <w:rFonts w:hint="eastAsia" w:ascii="Times New Roman" w:hAnsi="Times New Roman" w:eastAsia="宋体" w:cs="Times New Roman"/>
          <w:color w:val="auto"/>
          <w:highlight w:val="none"/>
          <w:lang w:val="zh-CN" w:eastAsia="zh-CN"/>
        </w:rPr>
        <w:t>发布媒介：在“政采云”平台（https://www.zcygov.cn/）</w:t>
      </w:r>
      <w:r>
        <w:rPr>
          <w:rFonts w:hint="eastAsia" w:ascii="Times New Roman" w:hAnsi="Times New Roman" w:eastAsia="宋体" w:cs="Times New Roman"/>
          <w:color w:val="auto"/>
          <w:highlight w:val="none"/>
          <w:lang w:val="en-US" w:eastAsia="zh-CN"/>
        </w:rPr>
        <w:t>发布</w:t>
      </w:r>
      <w:r>
        <w:rPr>
          <w:rFonts w:hint="eastAsia" w:ascii="Times New Roman" w:hAnsi="Times New Roman" w:eastAsia="宋体" w:cs="Times New Roman"/>
          <w:color w:val="auto"/>
          <w:highlight w:val="none"/>
          <w:lang w:val="zh-CN" w:eastAsia="zh-CN"/>
        </w:rPr>
        <w:t>（同步推送到吉林省政府采购网、</w:t>
      </w:r>
      <w:r>
        <w:rPr>
          <w:rFonts w:hint="eastAsia" w:ascii="Times New Roman" w:hAnsi="Times New Roman" w:eastAsia="宋体" w:cs="Times New Roman"/>
          <w:color w:val="auto"/>
          <w:highlight w:val="none"/>
          <w:lang w:val="en-US" w:eastAsia="zh-CN"/>
        </w:rPr>
        <w:t>中国政府采购网、</w:t>
      </w:r>
      <w:r>
        <w:rPr>
          <w:rFonts w:hint="eastAsia" w:ascii="Times New Roman" w:hAnsi="Times New Roman" w:eastAsia="宋体" w:cs="Times New Roman"/>
          <w:color w:val="auto"/>
          <w:highlight w:val="none"/>
          <w:lang w:val="zh-CN" w:eastAsia="zh-CN"/>
        </w:rPr>
        <w:t>吉林省公共资源交易公共服务平台）</w:t>
      </w:r>
    </w:p>
    <w:p w14:paraId="1735AA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lang w:eastAsia="zh-CN"/>
        </w:rPr>
        <w:t>按照财政部财库 [2014]68号、[2017]141号、[2019]9号、[2020]46号等文件要求，需要落实政府采购支持节能环保、中小企业发展等政策。</w:t>
      </w:r>
    </w:p>
    <w:p w14:paraId="008FF1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3</w:t>
      </w:r>
      <w:r>
        <w:rPr>
          <w:rFonts w:hint="eastAsia" w:ascii="宋体" w:hAnsi="宋体" w:eastAsia="宋体" w:cs="宋体"/>
          <w:color w:val="auto"/>
          <w:szCs w:val="22"/>
          <w:highlight w:val="none"/>
          <w:lang w:eastAsia="zh-CN"/>
        </w:rPr>
        <w:t>.投标文件提交方式：本项目为全流程电子化项目，通过“政采云”平台（https://www.zcygov.cn/）实行在线电子投标，投标人应先安装“政采云投标客户端”（请自行前往“政采云”平台进行下载），并按照本项目采购文件和“政采云”平台的要求编制、加密后在投标文件提交截止时间前通过网络上传至“政采云”平台，投标人在“政采云”平台提交电子投标文件时，请填写参加开标活动经办人的联系方式。在制作投标文件前，投标人需申领CA，领取CA后与政采云平台的账号进行绑定，使用CA对投标文件进行签章，否则，有可能导致无法在线编制投标文件和参与投标，其后果由投标人自行承担；</w:t>
      </w:r>
    </w:p>
    <w:p w14:paraId="7E52A6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4.投标文件开启方式：开标时间后30分钟内，由投标人持制作该电子投标文件的同一数字证书（CA锁）及电脑进行远程解密（各投标人开标前及网上开评标系统公布投标人名单前，不要提前进行远程解密，用“项目采购-开标评标-进入开标大厅-解密（插入CA）-确定”功能进行解密投标文件）若投标人在规定时间内无法解密或解密失败，视为投标无效。</w:t>
      </w:r>
    </w:p>
    <w:p w14:paraId="74347B0F">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、对本次招标提出询问，请按以下方式联系。</w:t>
      </w:r>
    </w:p>
    <w:p w14:paraId="358305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1.采购人信息</w:t>
      </w:r>
    </w:p>
    <w:p w14:paraId="38B388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采购人：吉林省公安厅</w:t>
      </w:r>
    </w:p>
    <w:p w14:paraId="41128E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  址：长春市朝阳区新发路806号</w:t>
      </w:r>
    </w:p>
    <w:p w14:paraId="5D96C3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联系人：宫亚男</w:t>
      </w:r>
    </w:p>
    <w:p w14:paraId="10A44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  话：0431-82098755</w:t>
      </w:r>
    </w:p>
    <w:p w14:paraId="352C4CF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2.采购代理机构信息</w:t>
      </w:r>
    </w:p>
    <w:p w14:paraId="34AF9E6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招标代理：中资国际工程咨询集团有限责任公司</w:t>
      </w:r>
    </w:p>
    <w:p w14:paraId="17D89C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地址：长春市二道区东南湖大路3030号</w:t>
      </w:r>
    </w:p>
    <w:p w14:paraId="035C3F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电话：林佳美15104434231</w:t>
      </w:r>
    </w:p>
    <w:p w14:paraId="59293D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3.项目联系方式</w:t>
      </w:r>
    </w:p>
    <w:p w14:paraId="505190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项目联系人：林佳美</w:t>
      </w:r>
    </w:p>
    <w:p w14:paraId="025C5CDA">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color w:val="auto"/>
          <w:szCs w:val="21"/>
          <w:highlight w:val="none"/>
          <w:lang w:val="en-US" w:eastAsia="zh-CN"/>
        </w:rPr>
        <w:sectPr>
          <w:footerReference r:id="rId8" w:type="first"/>
          <w:footerReference r:id="rId7" w:type="default"/>
          <w:pgSz w:w="11906" w:h="16838"/>
          <w:pgMar w:top="1814" w:right="1361" w:bottom="1701" w:left="1440" w:header="850" w:footer="992" w:gutter="0"/>
          <w:pgNumType w:fmt="decimal" w:start="1"/>
          <w:cols w:space="720" w:num="1"/>
          <w:titlePg/>
          <w:rtlGutter w:val="0"/>
          <w:docGrid w:type="lines" w:linePitch="317" w:charSpace="0"/>
        </w:sectPr>
      </w:pPr>
      <w:r>
        <w:rPr>
          <w:rFonts w:hint="eastAsia" w:ascii="宋体" w:hAnsi="宋体" w:eastAsia="宋体" w:cs="宋体"/>
          <w:color w:val="auto"/>
          <w:szCs w:val="21"/>
          <w:highlight w:val="none"/>
          <w:lang w:val="en-US" w:eastAsia="zh-CN"/>
        </w:rPr>
        <w:t>电话：15104434231</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4.监管部门：吉林省财政厅政府采购管理处</w:t>
      </w:r>
    </w:p>
    <w:p w14:paraId="464B9F5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723" w:firstLineChars="200"/>
        <w:jc w:val="center"/>
        <w:textAlignment w:val="auto"/>
        <w:rPr>
          <w:rStyle w:val="51"/>
          <w:rFonts w:hint="eastAsia"/>
          <w:color w:val="auto"/>
          <w:sz w:val="36"/>
          <w:szCs w:val="36"/>
          <w:lang w:val="en-US" w:eastAsia="zh-CN"/>
        </w:rPr>
        <w:sectPr>
          <w:type w:val="continuous"/>
          <w:pgSz w:w="11906" w:h="16838"/>
          <w:pgMar w:top="1814" w:right="1361" w:bottom="1701" w:left="1440" w:header="850" w:footer="992" w:gutter="0"/>
          <w:pgNumType w:fmt="decimal" w:start="1"/>
          <w:cols w:space="720" w:num="1"/>
          <w:titlePg/>
          <w:rtlGutter w:val="0"/>
          <w:docGrid w:type="lines" w:linePitch="317" w:charSpace="0"/>
        </w:sectPr>
      </w:pPr>
      <w:bookmarkStart w:id="3" w:name="_Toc460776563"/>
    </w:p>
    <w:p w14:paraId="7F50F0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723" w:firstLineChars="200"/>
        <w:jc w:val="center"/>
        <w:textAlignment w:val="auto"/>
        <w:rPr>
          <w:rFonts w:hint="eastAsia" w:ascii="宋体" w:hAnsi="宋体" w:eastAsia="宋体" w:cs="宋体"/>
          <w:color w:val="auto"/>
          <w:sz w:val="36"/>
          <w:highlight w:val="none"/>
        </w:rPr>
      </w:pPr>
      <w:bookmarkStart w:id="4" w:name="_Toc19172"/>
      <w:r>
        <w:rPr>
          <w:rStyle w:val="51"/>
          <w:rFonts w:hint="eastAsia"/>
          <w:color w:val="auto"/>
          <w:sz w:val="36"/>
          <w:szCs w:val="36"/>
          <w:lang w:val="en-US" w:eastAsia="zh-CN"/>
        </w:rPr>
        <w:t>第二章 投标人须知</w:t>
      </w:r>
      <w:bookmarkEnd w:id="2"/>
      <w:r>
        <w:rPr>
          <w:rStyle w:val="51"/>
          <w:rFonts w:hint="eastAsia"/>
          <w:color w:val="auto"/>
          <w:sz w:val="36"/>
          <w:szCs w:val="36"/>
          <w:lang w:val="en-US" w:eastAsia="zh-CN"/>
        </w:rPr>
        <w:t>及前附表</w:t>
      </w:r>
      <w:bookmarkEnd w:id="3"/>
      <w:bookmarkEnd w:id="4"/>
      <w:r>
        <w:rPr>
          <w:rFonts w:hint="eastAsia" w:ascii="宋体" w:hAnsi="宋体" w:eastAsia="宋体" w:cs="宋体"/>
          <w:color w:val="auto"/>
          <w:sz w:val="36"/>
          <w:highlight w:val="none"/>
        </w:rPr>
        <w:softHyphen/>
      </w:r>
      <w:r>
        <w:rPr>
          <w:rFonts w:hint="eastAsia" w:ascii="宋体" w:hAnsi="宋体" w:eastAsia="宋体" w:cs="宋体"/>
          <w:color w:val="auto"/>
          <w:sz w:val="36"/>
          <w:highlight w:val="none"/>
        </w:rPr>
        <w:softHyphen/>
      </w:r>
    </w:p>
    <w:p w14:paraId="734BE552">
      <w:pPr>
        <w:autoSpaceDE w:val="0"/>
        <w:autoSpaceDN w:val="0"/>
        <w:adjustRightInd w:val="0"/>
        <w:snapToGrid w:val="0"/>
        <w:spacing w:line="520" w:lineRule="exact"/>
        <w:ind w:firstLine="482"/>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投标须知前附表</w:t>
      </w:r>
    </w:p>
    <w:tbl>
      <w:tblPr>
        <w:tblStyle w:val="33"/>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969"/>
        <w:gridCol w:w="6777"/>
      </w:tblGrid>
      <w:tr w14:paraId="00E8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0EBC28B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条款号</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1124F55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条款名称</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55BF43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编列内容</w:t>
            </w:r>
          </w:p>
        </w:tc>
      </w:tr>
      <w:tr w14:paraId="4A81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5DF56C5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6EB8C6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43847A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吉林省公安厅</w:t>
            </w:r>
          </w:p>
          <w:p w14:paraId="5CF6CCD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长春市朝阳区新发路806号</w:t>
            </w:r>
          </w:p>
          <w:p w14:paraId="034B9B6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联系人：宫亚男</w:t>
            </w:r>
          </w:p>
          <w:p w14:paraId="3FD9C51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lang w:eastAsia="zh-CN"/>
              </w:rPr>
              <w:t>0431-82098755</w:t>
            </w:r>
          </w:p>
        </w:tc>
      </w:tr>
      <w:tr w14:paraId="398B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2555E8F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587898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采购代理机构</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59B0BE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名  称：</w:t>
            </w:r>
            <w:r>
              <w:rPr>
                <w:rFonts w:hint="eastAsia" w:ascii="宋体" w:hAnsi="宋体" w:eastAsia="宋体" w:cs="宋体"/>
                <w:b w:val="0"/>
                <w:bCs w:val="0"/>
                <w:color w:val="auto"/>
                <w:highlight w:val="none"/>
                <w:lang w:eastAsia="zh-CN"/>
              </w:rPr>
              <w:t>中资国际工程咨询集团有限责任公司</w:t>
            </w:r>
          </w:p>
          <w:p w14:paraId="3B22DD2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地  址：</w:t>
            </w:r>
            <w:r>
              <w:rPr>
                <w:rFonts w:hint="eastAsia" w:ascii="宋体" w:hAnsi="宋体" w:eastAsia="宋体" w:cs="宋体"/>
                <w:b w:val="0"/>
                <w:bCs w:val="0"/>
                <w:color w:val="auto"/>
                <w:highlight w:val="none"/>
                <w:lang w:eastAsia="zh-CN"/>
              </w:rPr>
              <w:t>长春市二道区东南湖大路3030号</w:t>
            </w:r>
          </w:p>
          <w:p w14:paraId="309BDA4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项目</w:t>
            </w:r>
            <w:r>
              <w:rPr>
                <w:rFonts w:hint="eastAsia" w:ascii="宋体" w:hAnsi="宋体" w:eastAsia="宋体" w:cs="宋体"/>
                <w:b w:val="0"/>
                <w:bCs w:val="0"/>
                <w:color w:val="auto"/>
                <w:highlight w:val="none"/>
              </w:rPr>
              <w:t>联系人：</w:t>
            </w:r>
            <w:r>
              <w:rPr>
                <w:rFonts w:hint="eastAsia" w:ascii="宋体" w:hAnsi="宋体" w:eastAsia="宋体" w:cs="宋体"/>
                <w:b w:val="0"/>
                <w:bCs w:val="0"/>
                <w:color w:val="auto"/>
                <w:highlight w:val="none"/>
                <w:lang w:eastAsia="zh-CN"/>
              </w:rPr>
              <w:t>林佳美</w:t>
            </w:r>
          </w:p>
          <w:p w14:paraId="6F072C9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电  话：</w:t>
            </w:r>
            <w:r>
              <w:rPr>
                <w:rFonts w:hint="eastAsia" w:ascii="宋体" w:hAnsi="宋体" w:eastAsia="宋体" w:cs="宋体"/>
                <w:b w:val="0"/>
                <w:bCs w:val="0"/>
                <w:color w:val="auto"/>
                <w:highlight w:val="none"/>
                <w:lang w:eastAsia="zh-CN"/>
              </w:rPr>
              <w:t>15104434231</w:t>
            </w:r>
          </w:p>
        </w:tc>
      </w:tr>
      <w:tr w14:paraId="7606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DEF7F8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E777CC0">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eastAsia" w:ascii="宋体" w:hAnsi="宋体" w:eastAsia="宋体" w:cs="宋体"/>
                <w:b w:val="0"/>
                <w:bCs w:val="0"/>
                <w:color w:val="auto"/>
                <w:highlight w:val="none"/>
              </w:rPr>
            </w:pPr>
            <w:r>
              <w:rPr>
                <w:rFonts w:hint="eastAsia" w:asciiTheme="majorEastAsia" w:hAnsiTheme="majorEastAsia" w:eastAsiaTheme="majorEastAsia" w:cstheme="majorEastAsia"/>
                <w:bCs/>
                <w:color w:val="auto"/>
                <w:sz w:val="21"/>
                <w:szCs w:val="21"/>
                <w:highlight w:val="none"/>
                <w:lang w:val="zh-CN"/>
              </w:rPr>
              <w:t>项目名称及编号</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21286D99">
            <w:pPr>
              <w:keepNext w:val="0"/>
              <w:keepLines w:val="0"/>
              <w:pageBreakBefore w:val="0"/>
              <w:kinsoku/>
              <w:wordWrap/>
              <w:overflowPunct/>
              <w:topLinePunct w:val="0"/>
              <w:bidi w:val="0"/>
              <w:spacing w:line="360" w:lineRule="exact"/>
              <w:ind w:left="0" w:leftChars="0" w:right="0"/>
              <w:jc w:val="both"/>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采购编号：采购计划-[2026]-07476号</w:t>
            </w:r>
          </w:p>
          <w:p w14:paraId="2E98BEC9">
            <w:pPr>
              <w:keepNext w:val="0"/>
              <w:keepLines w:val="0"/>
              <w:pageBreakBefore w:val="0"/>
              <w:kinsoku/>
              <w:wordWrap/>
              <w:overflowPunct/>
              <w:topLinePunct w:val="0"/>
              <w:bidi w:val="0"/>
              <w:spacing w:line="360" w:lineRule="exact"/>
              <w:ind w:left="0" w:leftChars="0" w:right="0"/>
              <w:jc w:val="both"/>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一标段项目名称：“ZJGC"一标段</w:t>
            </w:r>
          </w:p>
          <w:p w14:paraId="7DAB6B8B">
            <w:pPr>
              <w:keepNext w:val="0"/>
              <w:keepLines w:val="0"/>
              <w:pageBreakBefore w:val="0"/>
              <w:kinsoku/>
              <w:wordWrap/>
              <w:overflowPunct/>
              <w:topLinePunct w:val="0"/>
              <w:bidi w:val="0"/>
              <w:spacing w:line="360" w:lineRule="exact"/>
              <w:ind w:left="0" w:leftChars="0" w:right="0"/>
              <w:jc w:val="both"/>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一标段项目编号：</w:t>
            </w:r>
            <w:r>
              <w:rPr>
                <w:rFonts w:hint="eastAsia" w:ascii="宋体" w:hAnsi="宋体" w:cs="宋体"/>
                <w:color w:val="auto"/>
                <w:szCs w:val="22"/>
                <w:highlight w:val="none"/>
                <w:lang w:eastAsia="zh-CN"/>
              </w:rPr>
              <w:t>采购计划-[2026]-07476号</w:t>
            </w:r>
            <w:r>
              <w:rPr>
                <w:rFonts w:hint="eastAsia" w:ascii="宋体" w:hAnsi="宋体" w:eastAsia="宋体" w:cs="宋体"/>
                <w:color w:val="auto"/>
                <w:szCs w:val="22"/>
                <w:highlight w:val="none"/>
                <w:lang w:val="en-US" w:eastAsia="zh-CN"/>
              </w:rPr>
              <w:t>-</w:t>
            </w:r>
            <w:r>
              <w:rPr>
                <w:rFonts w:hint="eastAsia" w:ascii="宋体" w:hAnsi="宋体" w:cs="宋体"/>
                <w:color w:val="auto"/>
                <w:szCs w:val="22"/>
                <w:highlight w:val="none"/>
                <w:lang w:eastAsia="zh-CN"/>
              </w:rPr>
              <w:t>ZZ60827HW04310038</w:t>
            </w:r>
            <w:bookmarkStart w:id="44" w:name="_GoBack"/>
            <w:bookmarkEnd w:id="44"/>
            <w:r>
              <w:rPr>
                <w:rFonts w:hint="eastAsia" w:asciiTheme="majorEastAsia" w:hAnsiTheme="majorEastAsia" w:eastAsiaTheme="majorEastAsia" w:cstheme="majorEastAsia"/>
                <w:bCs/>
                <w:color w:val="auto"/>
                <w:sz w:val="21"/>
                <w:szCs w:val="21"/>
                <w:highlight w:val="none"/>
                <w:lang w:val="en-US" w:eastAsia="zh-CN"/>
              </w:rPr>
              <w:t>-1；</w:t>
            </w:r>
          </w:p>
          <w:p w14:paraId="61D139E2">
            <w:pPr>
              <w:keepNext w:val="0"/>
              <w:keepLines w:val="0"/>
              <w:pageBreakBefore w:val="0"/>
              <w:kinsoku/>
              <w:wordWrap/>
              <w:overflowPunct/>
              <w:topLinePunct w:val="0"/>
              <w:bidi w:val="0"/>
              <w:spacing w:line="360" w:lineRule="exact"/>
              <w:ind w:left="0" w:leftChars="0" w:right="0"/>
              <w:jc w:val="both"/>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二标段项目名称：“ZJGC"二标段项目</w:t>
            </w:r>
          </w:p>
          <w:p w14:paraId="622E0B65">
            <w:pPr>
              <w:keepNext w:val="0"/>
              <w:keepLines w:val="0"/>
              <w:pageBreakBefore w:val="0"/>
              <w:kinsoku/>
              <w:wordWrap/>
              <w:overflowPunct/>
              <w:topLinePunct w:val="0"/>
              <w:bidi w:val="0"/>
              <w:spacing w:line="360" w:lineRule="exact"/>
              <w:ind w:left="0" w:leftChars="0" w:right="0" w:rightChars="0"/>
              <w:jc w:val="both"/>
              <w:rPr>
                <w:rFonts w:hint="eastAsia" w:ascii="宋体" w:hAnsi="宋体" w:eastAsia="宋体" w:cs="宋体"/>
                <w:b w:val="0"/>
                <w:bCs w:val="0"/>
                <w:color w:val="auto"/>
                <w:highlight w:val="none"/>
                <w:lang w:eastAsia="zh-CN"/>
              </w:rPr>
            </w:pPr>
            <w:r>
              <w:rPr>
                <w:rFonts w:hint="eastAsia" w:asciiTheme="majorEastAsia" w:hAnsiTheme="majorEastAsia" w:eastAsiaTheme="majorEastAsia" w:cstheme="majorEastAsia"/>
                <w:bCs/>
                <w:color w:val="auto"/>
                <w:sz w:val="21"/>
                <w:szCs w:val="21"/>
                <w:highlight w:val="none"/>
                <w:lang w:val="en-US" w:eastAsia="zh-CN"/>
              </w:rPr>
              <w:t>二标段项目编号：</w:t>
            </w:r>
            <w:r>
              <w:rPr>
                <w:rFonts w:hint="eastAsia" w:ascii="宋体" w:hAnsi="宋体" w:cs="宋体"/>
                <w:color w:val="auto"/>
                <w:szCs w:val="22"/>
                <w:highlight w:val="none"/>
                <w:lang w:eastAsia="zh-CN"/>
              </w:rPr>
              <w:t>采购计划-[2026]-07476号</w:t>
            </w:r>
            <w:r>
              <w:rPr>
                <w:rFonts w:hint="eastAsia" w:ascii="宋体" w:hAnsi="宋体" w:eastAsia="宋体" w:cs="宋体"/>
                <w:color w:val="auto"/>
                <w:szCs w:val="22"/>
                <w:highlight w:val="none"/>
                <w:lang w:val="en-US" w:eastAsia="zh-CN"/>
              </w:rPr>
              <w:t>-</w:t>
            </w:r>
            <w:r>
              <w:rPr>
                <w:rFonts w:hint="eastAsia" w:ascii="宋体" w:hAnsi="宋体" w:cs="宋体"/>
                <w:color w:val="auto"/>
                <w:szCs w:val="22"/>
                <w:highlight w:val="none"/>
                <w:lang w:eastAsia="zh-CN"/>
              </w:rPr>
              <w:t>ZZ60827HW04310038</w:t>
            </w:r>
            <w:r>
              <w:rPr>
                <w:rFonts w:hint="eastAsia" w:asciiTheme="majorEastAsia" w:hAnsiTheme="majorEastAsia" w:eastAsiaTheme="majorEastAsia" w:cstheme="majorEastAsia"/>
                <w:bCs/>
                <w:color w:val="auto"/>
                <w:sz w:val="21"/>
                <w:szCs w:val="21"/>
                <w:highlight w:val="none"/>
                <w:lang w:val="en-US" w:eastAsia="zh-CN"/>
              </w:rPr>
              <w:t>-2；</w:t>
            </w:r>
          </w:p>
        </w:tc>
      </w:tr>
      <w:tr w14:paraId="415B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1C06455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42A78C8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交货地点</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75BA94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color w:val="auto"/>
                <w:szCs w:val="22"/>
                <w:highlight w:val="none"/>
                <w:lang w:eastAsia="zh-CN"/>
              </w:rPr>
              <w:t>长春市朝阳区工农大路605号</w:t>
            </w:r>
          </w:p>
        </w:tc>
      </w:tr>
      <w:tr w14:paraId="3B93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310CEE9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4CD67A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资金来源</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A22F74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财政资金</w:t>
            </w:r>
          </w:p>
        </w:tc>
      </w:tr>
      <w:tr w14:paraId="7A12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7262BCE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78FA3A8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出资比例</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361C1E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100%</w:t>
            </w:r>
          </w:p>
        </w:tc>
      </w:tr>
      <w:tr w14:paraId="7826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768660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07A0FB1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资金落实情况</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FD4E9E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已落实</w:t>
            </w:r>
          </w:p>
        </w:tc>
      </w:tr>
      <w:tr w14:paraId="5C05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234F285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1C675EA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招标范围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74DA84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color w:val="auto"/>
                <w:szCs w:val="22"/>
                <w:highlight w:val="none"/>
                <w:lang w:eastAsia="zh-CN"/>
              </w:rPr>
              <w:t>物证检验鉴定设备采购（详见招标文件“第五章 采购需求及技术规格要求”）。</w:t>
            </w:r>
          </w:p>
        </w:tc>
      </w:tr>
      <w:tr w14:paraId="5FE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746CBC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7CFD9F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交货期</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F7332C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cs="宋体"/>
                <w:color w:val="auto"/>
                <w:szCs w:val="22"/>
                <w:highlight w:val="none"/>
                <w:lang w:eastAsia="zh-CN"/>
              </w:rPr>
              <w:t>合同订立后60日内，将全部货物送至长春市朝阳区工农大路605号，并且质保符合要求。如果供方没有按照合同规定的时间交货和提供服务，供方应向需方支付误期赔偿费。误期赔偿费每周按迟交货物的交货价或延期服务的服务费用的百分之一计收，直至交货或提供服务为止。一周按七天计算，不足七天按一周计算。但误期赔偿费的最高限额不超过合同价的百分之五。误期赔偿费可从应付货款和/或履约保证金中扣除。收取误期赔偿费不影响需方采取合同规定的其他补救措施的权利。在收取误期赔偿费期间，需方有权决定是否终止合同。</w:t>
            </w:r>
          </w:p>
        </w:tc>
      </w:tr>
      <w:tr w14:paraId="2512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558415FF">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4B7214B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质量要求</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03B29F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质量要求</w:t>
            </w:r>
            <w:r>
              <w:rPr>
                <w:rFonts w:hint="eastAsia" w:ascii="宋体" w:hAnsi="宋体" w:eastAsia="宋体" w:cs="宋体"/>
                <w:b w:val="0"/>
                <w:bCs w:val="0"/>
                <w:color w:val="auto"/>
                <w:highlight w:val="none"/>
                <w:lang w:eastAsia="zh-CN"/>
              </w:rPr>
              <w:t>符合国家及行业标准及招标文件要求</w:t>
            </w:r>
            <w:r>
              <w:rPr>
                <w:rFonts w:hint="eastAsia" w:ascii="宋体" w:hAnsi="宋体" w:eastAsia="宋体" w:cs="宋体"/>
                <w:b w:val="0"/>
                <w:bCs w:val="0"/>
                <w:color w:val="auto"/>
                <w:highlight w:val="none"/>
              </w:rPr>
              <w:t>。</w:t>
            </w:r>
          </w:p>
        </w:tc>
      </w:tr>
      <w:tr w14:paraId="649F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58174EC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0C70B0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投标人资质条件、能力和信誉</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5786465">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1.投标人须符合《中华人民共和国政府采购法》第二十二条规定。</w:t>
            </w:r>
          </w:p>
          <w:p w14:paraId="443BF547">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2.落实政府采购政策需满足的资格要求：</w:t>
            </w:r>
            <w:r>
              <w:rPr>
                <w:rFonts w:hint="eastAsia" w:ascii="宋体" w:hAnsi="宋体" w:eastAsia="宋体" w:cs="宋体"/>
                <w:b w:val="0"/>
                <w:bCs w:val="0"/>
                <w:color w:val="auto"/>
                <w:szCs w:val="21"/>
                <w:highlight w:val="none"/>
                <w:lang w:eastAsia="zh-CN"/>
              </w:rPr>
              <w:t>根据《政府采购促进中小企业发展管理办法》（财库〔2020〕46号）规定，本项目专门面向中小企业采购，供应商应出具合格的《中小企业声明函》。</w:t>
            </w:r>
          </w:p>
          <w:p w14:paraId="3913F49D">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3.本项目的特定资格要求：</w:t>
            </w:r>
          </w:p>
          <w:p w14:paraId="78D31D22">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3.1</w:t>
            </w:r>
            <w:r>
              <w:rPr>
                <w:rFonts w:hint="eastAsia" w:ascii="宋体" w:hAnsi="宋体" w:eastAsia="宋体" w:cs="宋体"/>
                <w:b w:val="0"/>
                <w:bCs w:val="0"/>
                <w:color w:val="auto"/>
                <w:szCs w:val="21"/>
                <w:highlight w:val="none"/>
                <w:lang w:eastAsia="zh-CN"/>
              </w:rPr>
              <w:t>投标人是在中华人民共和国境内注册的法人单位或其他组织</w:t>
            </w:r>
            <w:r>
              <w:rPr>
                <w:rFonts w:hint="eastAsia" w:ascii="宋体" w:hAnsi="宋体" w:eastAsia="宋体" w:cs="宋体"/>
                <w:b w:val="0"/>
                <w:bCs w:val="0"/>
                <w:color w:val="auto"/>
                <w:szCs w:val="21"/>
                <w:highlight w:val="none"/>
              </w:rPr>
              <w:t>，并在人员、设备、资金等方面具备相应的供货能力。</w:t>
            </w:r>
          </w:p>
          <w:p w14:paraId="1CCF9197">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3.2一标段投标人为生产企业，应取得食品药品监督管理部门颁发的《第一类医疗器械生产备案凭证》（含核酸分离纯化类）；</w:t>
            </w:r>
          </w:p>
          <w:p w14:paraId="256649CB">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一标段投标人为经营企业，应提供制造商的食品药品监督管理部门颁发的《第一类医疗器械生产备案凭证》（含核酸分离纯化类）</w:t>
            </w:r>
          </w:p>
          <w:p w14:paraId="1C9A688F">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eastAsia="zh-CN"/>
              </w:rPr>
              <w:t>3.</w:t>
            </w:r>
            <w:r>
              <w:rPr>
                <w:rFonts w:hint="eastAsia" w:ascii="宋体" w:hAnsi="宋体" w:eastAsia="宋体" w:cs="宋体"/>
                <w:b w:val="0"/>
                <w:bCs w:val="0"/>
                <w:color w:val="auto"/>
                <w:szCs w:val="21"/>
                <w:highlight w:val="none"/>
                <w:lang w:val="en-US" w:eastAsia="zh-CN"/>
              </w:rPr>
              <w:t>3信誉要求：</w:t>
            </w:r>
          </w:p>
          <w:p w14:paraId="2892B5FC">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（1）不接受列入政府取消投标资格记录期间的企业或个人参加投标。</w:t>
            </w:r>
          </w:p>
          <w:p w14:paraId="4D0D93C4">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供应商不得为“信用中国”网站（www.creditchina.gov.cn）中列入失信被执行人和重大税收违法失信主体的投标人，不得为中国政府采购网（www.ccgp.gov.cn）政府采购严重违法失信行为记录名单中被财政部门禁止参加政府采购活动的投标人（在处罚决定规定的时间和地域范围内）（详见财库【2016】125号文）。</w:t>
            </w:r>
          </w:p>
          <w:p w14:paraId="7620CAF9">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（3）供应商未被工商行政管理机关在全国企业信用信息公示系统（www.gsxt.gov.cn）中列入严重违法失信企业名单；</w:t>
            </w:r>
          </w:p>
          <w:p w14:paraId="379D4CF4">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（4）供应商近三年（2023年1月1日至今）内在中国裁判文书网（wenshu.court.gov.cn）无行贿犯罪记录。</w:t>
            </w:r>
          </w:p>
          <w:p w14:paraId="0A277D56">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3.4其他要求：与采购人存在利害关系可能影响采购公正性的法人、其它组织或者个人，不得参加投标；单位负责人为同一人或者存在直接控股、管理关系的不同投标人，不得参加同一合同项下的政府采购活动。否则相关投标无效。</w:t>
            </w:r>
          </w:p>
        </w:tc>
      </w:tr>
      <w:tr w14:paraId="2CF8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F43D1AC">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A91110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17EA6C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w:t>
            </w:r>
          </w:p>
        </w:tc>
      </w:tr>
      <w:tr w14:paraId="65A8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AB778A2">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0F9169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0C949C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不组织</w:t>
            </w:r>
          </w:p>
        </w:tc>
      </w:tr>
      <w:tr w14:paraId="66AB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78D58E53">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114BEF3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064624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不召开</w:t>
            </w:r>
          </w:p>
        </w:tc>
      </w:tr>
      <w:tr w14:paraId="018E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0517BE2B">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FFEAD1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投标人提出问题的截止时间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9098865">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color w:val="auto"/>
                <w:szCs w:val="21"/>
                <w:highlight w:val="none"/>
                <w:shd w:val="clear" w:color="auto" w:fill="auto"/>
                <w:lang w:val="zh-CN"/>
              </w:rPr>
            </w:pPr>
            <w:r>
              <w:rPr>
                <w:rFonts w:hint="eastAsia" w:ascii="宋体" w:hAnsi="宋体" w:eastAsia="宋体" w:cs="宋体"/>
                <w:b w:val="0"/>
                <w:bCs/>
                <w:color w:val="auto"/>
                <w:szCs w:val="21"/>
                <w:highlight w:val="none"/>
                <w:shd w:val="clear" w:color="auto" w:fill="auto"/>
                <w:lang w:val="zh-CN"/>
              </w:rPr>
              <w:t>时  间：在获取采购文件或者采购文件公告期限届满之日起7个工作日内投标人将对采购文件不清楚的问题提交给采购代理机构。</w:t>
            </w:r>
          </w:p>
          <w:p w14:paraId="5F16F3CD">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color w:val="auto"/>
                <w:szCs w:val="21"/>
                <w:highlight w:val="none"/>
                <w:shd w:val="clear" w:color="auto" w:fill="auto"/>
                <w:lang w:val="zh-CN" w:eastAsia="zh-CN"/>
              </w:rPr>
            </w:pPr>
            <w:r>
              <w:rPr>
                <w:rFonts w:hint="eastAsia" w:ascii="宋体" w:hAnsi="宋体" w:eastAsia="宋体" w:cs="宋体"/>
                <w:b w:val="0"/>
                <w:bCs/>
                <w:color w:val="auto"/>
                <w:szCs w:val="21"/>
                <w:highlight w:val="none"/>
                <w:shd w:val="clear" w:color="auto" w:fill="auto"/>
                <w:lang w:val="zh-CN" w:eastAsia="zh-CN"/>
              </w:rPr>
              <w:t>形式:网上提交，在政府采购云平台(网址:http：//www.zcygov.cn）</w:t>
            </w:r>
            <w:r>
              <w:rPr>
                <w:rFonts w:hint="eastAsia" w:ascii="宋体" w:hAnsi="宋体" w:eastAsia="宋体" w:cs="宋体"/>
                <w:b w:val="0"/>
                <w:bCs/>
                <w:color w:val="auto"/>
                <w:szCs w:val="21"/>
                <w:highlight w:val="none"/>
                <w:shd w:val="clear" w:color="auto" w:fill="auto"/>
                <w:lang w:val="en-US" w:eastAsia="zh-CN"/>
              </w:rPr>
              <w:t>上</w:t>
            </w:r>
            <w:r>
              <w:rPr>
                <w:rFonts w:hint="eastAsia" w:ascii="宋体" w:hAnsi="宋体" w:eastAsia="宋体" w:cs="宋体"/>
                <w:b w:val="0"/>
                <w:bCs/>
                <w:color w:val="auto"/>
                <w:szCs w:val="21"/>
                <w:highlight w:val="none"/>
                <w:shd w:val="clear" w:color="auto" w:fill="auto"/>
                <w:lang w:val="zh-CN" w:eastAsia="zh-CN"/>
              </w:rPr>
              <w:t>提交。</w:t>
            </w:r>
          </w:p>
          <w:p w14:paraId="0AE2693A">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eastAsia="宋体" w:cs="宋体"/>
                <w:b w:val="0"/>
                <w:bCs/>
                <w:color w:val="auto"/>
                <w:szCs w:val="21"/>
                <w:highlight w:val="none"/>
                <w:shd w:val="clear" w:color="auto" w:fill="auto"/>
                <w:lang w:val="en-US" w:eastAsia="zh-CN"/>
              </w:rPr>
            </w:pPr>
            <w:r>
              <w:rPr>
                <w:rFonts w:hint="eastAsia" w:ascii="宋体" w:hAnsi="宋体" w:eastAsia="宋体" w:cs="宋体"/>
                <w:b w:val="0"/>
                <w:bCs/>
                <w:color w:val="auto"/>
                <w:szCs w:val="21"/>
                <w:highlight w:val="none"/>
                <w:shd w:val="clear" w:color="auto" w:fill="auto"/>
                <w:lang w:val="zh-CN" w:eastAsia="zh-CN"/>
              </w:rPr>
              <w:t>若投标人未按规定提出，则视为其无疑问。</w:t>
            </w:r>
          </w:p>
          <w:p w14:paraId="629A660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color w:val="auto"/>
                <w:highlight w:val="none"/>
              </w:rPr>
            </w:pPr>
            <w:r>
              <w:rPr>
                <w:rFonts w:hint="eastAsia" w:ascii="宋体" w:hAnsi="宋体" w:eastAsia="宋体" w:cs="宋体"/>
                <w:b w:val="0"/>
                <w:bCs/>
                <w:color w:val="auto"/>
                <w:szCs w:val="21"/>
                <w:highlight w:val="none"/>
                <w:shd w:val="clear" w:color="auto" w:fill="auto"/>
                <w:lang w:val="zh-CN"/>
              </w:rPr>
              <w:t>注:投标人在法定期限内一次性提出针对同一采购程序环节的问题。</w:t>
            </w:r>
          </w:p>
        </w:tc>
      </w:tr>
      <w:tr w14:paraId="331F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16CB8839">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2CE420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书面澄清的时间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8A59C2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投标截止时间15天前</w:t>
            </w:r>
          </w:p>
        </w:tc>
      </w:tr>
      <w:tr w14:paraId="4102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71CD722">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A57EC4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分包</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20E9C5B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不允许</w:t>
            </w:r>
          </w:p>
        </w:tc>
      </w:tr>
      <w:tr w14:paraId="384C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C72484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9F9003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偏离</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59BADC1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不允许</w:t>
            </w:r>
          </w:p>
        </w:tc>
      </w:tr>
      <w:tr w14:paraId="6D37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77A18E57">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BC180F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构成</w:t>
            </w:r>
            <w:r>
              <w:rPr>
                <w:rFonts w:hint="eastAsia" w:ascii="宋体" w:hAnsi="宋体" w:eastAsia="宋体" w:cs="宋体"/>
                <w:b w:val="0"/>
                <w:bCs w:val="0"/>
                <w:color w:val="auto"/>
                <w:highlight w:val="none"/>
                <w:lang w:eastAsia="zh-CN"/>
              </w:rPr>
              <w:t>采购文件</w:t>
            </w:r>
            <w:r>
              <w:rPr>
                <w:rFonts w:hint="eastAsia" w:ascii="宋体" w:hAnsi="宋体" w:eastAsia="宋体" w:cs="宋体"/>
                <w:b w:val="0"/>
                <w:bCs w:val="0"/>
                <w:color w:val="auto"/>
                <w:highlight w:val="none"/>
              </w:rPr>
              <w:t>的其他材料</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585A07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无</w:t>
            </w:r>
          </w:p>
        </w:tc>
      </w:tr>
      <w:tr w14:paraId="35C9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C1BC26A">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1C0BCF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投标人要求澄清</w:t>
            </w:r>
            <w:r>
              <w:rPr>
                <w:rFonts w:hint="eastAsia" w:ascii="宋体" w:hAnsi="宋体" w:eastAsia="宋体" w:cs="宋体"/>
                <w:b w:val="0"/>
                <w:bCs w:val="0"/>
                <w:color w:val="auto"/>
                <w:highlight w:val="none"/>
                <w:lang w:eastAsia="zh-CN"/>
              </w:rPr>
              <w:t>采购文件</w:t>
            </w:r>
            <w:r>
              <w:rPr>
                <w:rFonts w:hint="eastAsia" w:ascii="宋体" w:hAnsi="宋体" w:eastAsia="宋体" w:cs="宋体"/>
                <w:b w:val="0"/>
                <w:bCs w:val="0"/>
                <w:color w:val="auto"/>
                <w:highlight w:val="none"/>
              </w:rPr>
              <w:t>的截止时间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1C41C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10</w:t>
            </w:r>
            <w:r>
              <w:rPr>
                <w:rFonts w:hint="eastAsia" w:ascii="宋体" w:hAnsi="宋体" w:eastAsia="宋体" w:cs="宋体"/>
                <w:b w:val="0"/>
                <w:bCs w:val="0"/>
                <w:color w:val="auto"/>
                <w:highlight w:val="none"/>
              </w:rPr>
              <w:t>日</w:t>
            </w:r>
            <w:r>
              <w:rPr>
                <w:rFonts w:hint="eastAsia" w:ascii="宋体" w:hAnsi="宋体" w:eastAsia="宋体" w:cs="宋体"/>
                <w:b w:val="0"/>
                <w:bCs w:val="0"/>
                <w:color w:val="auto"/>
                <w:highlight w:val="none"/>
                <w:lang w:val="en-US" w:eastAsia="zh-CN"/>
              </w:rPr>
              <w:t>前</w:t>
            </w:r>
            <w:r>
              <w:rPr>
                <w:rFonts w:hint="eastAsia" w:ascii="宋体" w:hAnsi="宋体" w:eastAsia="宋体" w:cs="宋体"/>
                <w:b w:val="0"/>
                <w:bCs w:val="0"/>
                <w:color w:val="auto"/>
                <w:highlight w:val="none"/>
              </w:rPr>
              <w:t>。</w:t>
            </w:r>
          </w:p>
        </w:tc>
      </w:tr>
      <w:tr w14:paraId="73F0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8119CAB">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7D0185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投标截止时间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6C0C45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cs="宋体"/>
                <w:color w:val="auto"/>
                <w:szCs w:val="22"/>
                <w:highlight w:val="none"/>
                <w:lang w:eastAsia="zh-CN"/>
              </w:rPr>
              <w:t>2026年06月04日9:00</w:t>
            </w:r>
            <w:r>
              <w:rPr>
                <w:rFonts w:hint="eastAsia" w:ascii="宋体" w:hAnsi="宋体" w:eastAsia="宋体" w:cs="宋体"/>
                <w:b w:val="0"/>
                <w:bCs w:val="0"/>
                <w:color w:val="auto"/>
                <w:highlight w:val="none"/>
              </w:rPr>
              <w:t>（北京时间）。</w:t>
            </w:r>
          </w:p>
        </w:tc>
      </w:tr>
      <w:tr w14:paraId="1ECD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C70699D">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4B8EAA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投标人确认收到</w:t>
            </w:r>
            <w:r>
              <w:rPr>
                <w:rFonts w:hint="eastAsia" w:ascii="宋体" w:hAnsi="宋体" w:eastAsia="宋体" w:cs="宋体"/>
                <w:b w:val="0"/>
                <w:bCs w:val="0"/>
                <w:color w:val="auto"/>
                <w:highlight w:val="none"/>
                <w:lang w:eastAsia="zh-CN"/>
              </w:rPr>
              <w:t>采购文件</w:t>
            </w:r>
            <w:r>
              <w:rPr>
                <w:rFonts w:hint="eastAsia" w:ascii="宋体" w:hAnsi="宋体" w:eastAsia="宋体" w:cs="宋体"/>
                <w:b w:val="0"/>
                <w:bCs w:val="0"/>
                <w:color w:val="auto"/>
                <w:highlight w:val="none"/>
              </w:rPr>
              <w:t>澄清的时间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27CC6AF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24小时以内。</w:t>
            </w:r>
          </w:p>
        </w:tc>
      </w:tr>
      <w:tr w14:paraId="7F4D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237B6A58">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0406531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投标人确认收到</w:t>
            </w:r>
            <w:r>
              <w:rPr>
                <w:rFonts w:hint="eastAsia" w:ascii="宋体" w:hAnsi="宋体" w:eastAsia="宋体" w:cs="宋体"/>
                <w:b w:val="0"/>
                <w:bCs w:val="0"/>
                <w:color w:val="auto"/>
                <w:highlight w:val="none"/>
                <w:lang w:eastAsia="zh-CN"/>
              </w:rPr>
              <w:t>采购文件</w:t>
            </w:r>
            <w:r>
              <w:rPr>
                <w:rFonts w:hint="eastAsia" w:ascii="宋体" w:hAnsi="宋体" w:eastAsia="宋体" w:cs="宋体"/>
                <w:b w:val="0"/>
                <w:bCs w:val="0"/>
                <w:color w:val="auto"/>
                <w:highlight w:val="none"/>
              </w:rPr>
              <w:t>修改的时间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5F7F5C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24小时以内。</w:t>
            </w:r>
          </w:p>
        </w:tc>
      </w:tr>
      <w:tr w14:paraId="3722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56287444">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24</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11F769D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构成投标文件的其他材料</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2EFF58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eastAsia="zh-CN"/>
              </w:rPr>
              <w:t>无</w:t>
            </w:r>
          </w:p>
        </w:tc>
      </w:tr>
      <w:tr w14:paraId="24D6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75A49AC7">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E0F849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投标有效期</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D91358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投标截止之日后90天（日历天），从投标截止之日算起。</w:t>
            </w:r>
          </w:p>
        </w:tc>
      </w:tr>
      <w:tr w14:paraId="7A86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3D4CD3C3">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6C435EE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投标保证金</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E567CEB">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en-US" w:eastAsia="zh-CN"/>
              </w:rPr>
              <w:t>金额：一标段：</w:t>
            </w:r>
            <w:r>
              <w:rPr>
                <w:rFonts w:hint="eastAsia" w:asciiTheme="majorEastAsia" w:hAnsiTheme="majorEastAsia" w:eastAsiaTheme="majorEastAsia" w:cstheme="majorEastAsia"/>
                <w:bCs/>
                <w:color w:val="auto"/>
                <w:sz w:val="21"/>
                <w:szCs w:val="21"/>
                <w:highlight w:val="none"/>
                <w:lang w:val="zh-CN"/>
              </w:rPr>
              <w:t>人民币</w:t>
            </w:r>
            <w:r>
              <w:rPr>
                <w:rFonts w:hint="eastAsia" w:asciiTheme="majorEastAsia" w:hAnsiTheme="majorEastAsia" w:eastAsiaTheme="majorEastAsia" w:cstheme="majorEastAsia"/>
                <w:bCs/>
                <w:color w:val="auto"/>
                <w:sz w:val="21"/>
                <w:szCs w:val="21"/>
                <w:highlight w:val="none"/>
                <w:lang w:val="en-US" w:eastAsia="zh-CN"/>
              </w:rPr>
              <w:t>80000</w:t>
            </w:r>
            <w:r>
              <w:rPr>
                <w:rFonts w:hint="eastAsia" w:asciiTheme="majorEastAsia" w:hAnsiTheme="majorEastAsia" w:eastAsiaTheme="majorEastAsia" w:cstheme="majorEastAsia"/>
                <w:bCs/>
                <w:color w:val="auto"/>
                <w:sz w:val="21"/>
                <w:szCs w:val="21"/>
                <w:highlight w:val="none"/>
                <w:lang w:val="zh-CN"/>
              </w:rPr>
              <w:t>元；二标段：人民币</w:t>
            </w:r>
            <w:r>
              <w:rPr>
                <w:rFonts w:hint="eastAsia" w:asciiTheme="majorEastAsia" w:hAnsiTheme="majorEastAsia" w:eastAsiaTheme="majorEastAsia" w:cstheme="majorEastAsia"/>
                <w:bCs/>
                <w:color w:val="auto"/>
                <w:sz w:val="21"/>
                <w:szCs w:val="21"/>
                <w:highlight w:val="none"/>
                <w:lang w:val="en-US" w:eastAsia="zh-CN"/>
              </w:rPr>
              <w:t>30000</w:t>
            </w:r>
            <w:r>
              <w:rPr>
                <w:rFonts w:hint="eastAsia" w:asciiTheme="majorEastAsia" w:hAnsiTheme="majorEastAsia" w:eastAsiaTheme="majorEastAsia" w:cstheme="majorEastAsia"/>
                <w:bCs/>
                <w:color w:val="auto"/>
                <w:sz w:val="21"/>
                <w:szCs w:val="21"/>
                <w:highlight w:val="none"/>
                <w:lang w:val="zh-CN"/>
              </w:rPr>
              <w:t>元；</w:t>
            </w:r>
          </w:p>
          <w:p w14:paraId="437C40C6">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递交形式：投标保证金应当以支票、汇票、本票、网上银行支付或者金融机构、担保机构出具的保函等形式提交。</w:t>
            </w:r>
          </w:p>
          <w:p w14:paraId="2DE9FFC0">
            <w:pPr>
              <w:keepNext w:val="0"/>
              <w:keepLines w:val="0"/>
              <w:pageBreakBefore w:val="0"/>
              <w:widowControl w:val="0"/>
              <w:kinsoku/>
              <w:wordWrap/>
              <w:overflowPunct/>
              <w:topLinePunct w:val="0"/>
              <w:bidi w:val="0"/>
              <w:spacing w:line="360" w:lineRule="exact"/>
              <w:ind w:left="0" w:leftChars="0" w:right="0"/>
              <w:rPr>
                <w:rFonts w:hint="eastAsia" w:asciiTheme="majorEastAsia" w:hAnsiTheme="majorEastAsia" w:eastAsiaTheme="majorEastAsia" w:cstheme="majorEastAsia"/>
                <w:b w:val="0"/>
                <w:bCs w:val="0"/>
                <w:color w:val="auto"/>
                <w:sz w:val="21"/>
                <w:szCs w:val="21"/>
                <w:lang w:val="zh-CN"/>
              </w:rPr>
            </w:pPr>
            <w:r>
              <w:rPr>
                <w:rFonts w:hint="eastAsia" w:asciiTheme="majorEastAsia" w:hAnsiTheme="majorEastAsia" w:eastAsiaTheme="majorEastAsia" w:cstheme="majorEastAsia"/>
                <w:b w:val="0"/>
                <w:bCs w:val="0"/>
                <w:color w:val="auto"/>
                <w:sz w:val="21"/>
                <w:szCs w:val="21"/>
                <w:lang w:val="zh-CN"/>
              </w:rPr>
              <w:t>公司名称：中资国际工程咨询集团有限责任公司长春市分公司</w:t>
            </w:r>
          </w:p>
          <w:p w14:paraId="5C3D1D72">
            <w:pPr>
              <w:keepNext w:val="0"/>
              <w:keepLines w:val="0"/>
              <w:pageBreakBefore w:val="0"/>
              <w:widowControl w:val="0"/>
              <w:kinsoku/>
              <w:wordWrap/>
              <w:overflowPunct/>
              <w:topLinePunct w:val="0"/>
              <w:bidi w:val="0"/>
              <w:spacing w:line="360" w:lineRule="exact"/>
              <w:ind w:left="0" w:leftChars="0" w:right="0"/>
              <w:rPr>
                <w:rFonts w:hint="eastAsia" w:asciiTheme="majorEastAsia" w:hAnsiTheme="majorEastAsia" w:eastAsiaTheme="majorEastAsia" w:cstheme="majorEastAsia"/>
                <w:b w:val="0"/>
                <w:bCs w:val="0"/>
                <w:color w:val="auto"/>
                <w:sz w:val="21"/>
                <w:szCs w:val="21"/>
                <w:lang w:val="zh-CN"/>
              </w:rPr>
            </w:pPr>
            <w:r>
              <w:rPr>
                <w:rFonts w:hint="eastAsia" w:asciiTheme="majorEastAsia" w:hAnsiTheme="majorEastAsia" w:eastAsiaTheme="majorEastAsia" w:cstheme="majorEastAsia"/>
                <w:b w:val="0"/>
                <w:bCs w:val="0"/>
                <w:color w:val="auto"/>
                <w:sz w:val="21"/>
                <w:szCs w:val="21"/>
                <w:lang w:val="zh-CN"/>
              </w:rPr>
              <w:t>开户银行：中国邮政储蓄银行股份有限公司长春市浦东路支行</w:t>
            </w:r>
          </w:p>
          <w:p w14:paraId="2800723D">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Theme="majorEastAsia" w:hAnsiTheme="majorEastAsia" w:eastAsiaTheme="majorEastAsia" w:cstheme="majorEastAsia"/>
                <w:b w:val="0"/>
                <w:bCs w:val="0"/>
                <w:color w:val="auto"/>
                <w:sz w:val="21"/>
                <w:szCs w:val="21"/>
                <w:lang w:val="zh-CN"/>
              </w:rPr>
            </w:pPr>
            <w:r>
              <w:rPr>
                <w:rFonts w:hint="eastAsia" w:asciiTheme="majorEastAsia" w:hAnsiTheme="majorEastAsia" w:eastAsiaTheme="majorEastAsia" w:cstheme="majorEastAsia"/>
                <w:b w:val="0"/>
                <w:bCs w:val="0"/>
                <w:color w:val="auto"/>
                <w:sz w:val="21"/>
                <w:szCs w:val="21"/>
                <w:lang w:val="zh-CN"/>
              </w:rPr>
              <w:t>公司账号：922010013000508202</w:t>
            </w:r>
          </w:p>
          <w:p w14:paraId="7ED9F3B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备注：（1）在</w:t>
            </w:r>
            <w:r>
              <w:rPr>
                <w:rFonts w:hint="eastAsia" w:ascii="宋体" w:hAnsi="宋体" w:eastAsia="宋体" w:cs="宋体"/>
                <w:b w:val="0"/>
                <w:bCs w:val="0"/>
                <w:color w:val="auto"/>
                <w:highlight w:val="none"/>
                <w:lang w:eastAsia="zh-CN"/>
              </w:rPr>
              <w:t>投标截止时间</w:t>
            </w:r>
            <w:r>
              <w:rPr>
                <w:rFonts w:hint="eastAsia" w:ascii="宋体" w:hAnsi="宋体" w:eastAsia="宋体" w:cs="宋体"/>
                <w:b w:val="0"/>
                <w:bCs w:val="0"/>
                <w:color w:val="auto"/>
                <w:highlight w:val="none"/>
              </w:rPr>
              <w:t>前递交以到帐为准，否则视为放弃投标。</w:t>
            </w:r>
          </w:p>
          <w:p w14:paraId="0C392FDD">
            <w:pPr>
              <w:keepNext w:val="0"/>
              <w:keepLines w:val="0"/>
              <w:pageBreakBefore w:val="0"/>
              <w:widowControl w:val="0"/>
              <w:numPr>
                <w:ilvl w:val="0"/>
                <w:numId w:val="1"/>
              </w:numPr>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投标人以转账或电汇形式提交的投标保证金应当从投标人基本账户转出。</w:t>
            </w:r>
          </w:p>
          <w:p w14:paraId="713BFA38">
            <w:pPr>
              <w:keepNext w:val="0"/>
              <w:keepLines w:val="0"/>
              <w:pageBreakBefore w:val="0"/>
              <w:widowControl w:val="0"/>
              <w:numPr>
                <w:ilvl w:val="0"/>
                <w:numId w:val="1"/>
              </w:numPr>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以其他方式递交的投标保证金凭证应在递交文件截止时间之前将投标保证金凭证原件递交给采购代理机构。</w:t>
            </w:r>
          </w:p>
          <w:p w14:paraId="77CD0A3C">
            <w:pPr>
              <w:keepNext w:val="0"/>
              <w:keepLines w:val="0"/>
              <w:pageBreakBefore w:val="0"/>
              <w:widowControl w:val="0"/>
              <w:numPr>
                <w:ilvl w:val="0"/>
                <w:numId w:val="0"/>
              </w:numPr>
              <w:kinsoku/>
              <w:wordWrap/>
              <w:overflowPunct/>
              <w:topLinePunct w:val="0"/>
              <w:bidi w:val="0"/>
              <w:adjustRightInd/>
              <w:snapToGrid/>
              <w:spacing w:line="240" w:lineRule="auto"/>
              <w:jc w:val="left"/>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保函受益人：吉林省公安厅</w:t>
            </w:r>
          </w:p>
        </w:tc>
      </w:tr>
      <w:tr w14:paraId="14E0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06B1BBB3">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0A66A95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财务状况</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35D548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w:t>
            </w:r>
          </w:p>
        </w:tc>
      </w:tr>
      <w:tr w14:paraId="26A7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1D83A59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2C132F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近年发生的诉讼及仲裁情况的年份要求</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2A70A3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202</w:t>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lang w:eastAsia="zh-CN"/>
              </w:rPr>
              <w:t>年-至今</w:t>
            </w:r>
          </w:p>
        </w:tc>
      </w:tr>
      <w:tr w14:paraId="55AC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037C824A">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19579F0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是否允许递交备选投标方案</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5521BB7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不允许</w:t>
            </w:r>
          </w:p>
        </w:tc>
      </w:tr>
      <w:tr w14:paraId="2C40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7613715">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722759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签字或盖章要求</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8628FB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zh-CN"/>
              </w:rPr>
              <w:t>投标文件按“第</w:t>
            </w:r>
            <w:r>
              <w:rPr>
                <w:rFonts w:hint="eastAsia" w:ascii="宋体" w:hAnsi="宋体" w:eastAsia="宋体" w:cs="宋体"/>
                <w:b w:val="0"/>
                <w:bCs w:val="0"/>
                <w:color w:val="auto"/>
                <w:highlight w:val="none"/>
                <w:lang w:val="en-US" w:eastAsia="zh-CN"/>
              </w:rPr>
              <w:t>六</w:t>
            </w:r>
            <w:r>
              <w:rPr>
                <w:rFonts w:hint="eastAsia" w:ascii="宋体" w:hAnsi="宋体" w:eastAsia="宋体" w:cs="宋体"/>
                <w:b w:val="0"/>
                <w:bCs w:val="0"/>
                <w:color w:val="auto"/>
                <w:highlight w:val="none"/>
                <w:lang w:val="zh-CN"/>
              </w:rPr>
              <w:t>章 投标文件格式”中提供的格式要求盖章。</w:t>
            </w:r>
          </w:p>
          <w:p w14:paraId="51728C6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zh-CN"/>
              </w:rPr>
              <w:t>公章采用单位 CA 章或单位公章。</w:t>
            </w:r>
          </w:p>
        </w:tc>
      </w:tr>
      <w:tr w14:paraId="2FDB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084F06D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7DE887A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投标文件</w:t>
            </w:r>
            <w:r>
              <w:rPr>
                <w:rFonts w:hint="eastAsia" w:ascii="宋体" w:hAnsi="宋体" w:eastAsia="宋体" w:cs="宋体"/>
                <w:b w:val="0"/>
                <w:bCs w:val="0"/>
                <w:color w:val="auto"/>
                <w:highlight w:val="none"/>
                <w:lang w:val="en-US" w:eastAsia="zh-CN"/>
              </w:rPr>
              <w:t>编制</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B40FFA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投标文件编制工具:投标文件编制工具为政采云电子交易客户端，请自行在网上下载。</w:t>
            </w:r>
          </w:p>
        </w:tc>
      </w:tr>
      <w:tr w14:paraId="2B60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72F6C5C8">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73D50BC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szCs w:val="21"/>
                <w:highlight w:val="none"/>
                <w:shd w:val="clear" w:color="auto" w:fill="auto"/>
                <w:lang w:val="zh-CN"/>
              </w:rPr>
              <w:t>电子投标文件的上传和递交</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EE3A398">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szCs w:val="21"/>
                <w:highlight w:val="none"/>
                <w:shd w:val="clear" w:color="auto" w:fill="auto"/>
                <w:lang w:val="zh-CN"/>
              </w:rPr>
            </w:pPr>
            <w:r>
              <w:rPr>
                <w:rFonts w:hint="eastAsia" w:ascii="宋体" w:hAnsi="宋体" w:eastAsia="宋体" w:cs="宋体"/>
                <w:b w:val="0"/>
                <w:bCs w:val="0"/>
                <w:color w:val="auto"/>
                <w:szCs w:val="21"/>
                <w:highlight w:val="none"/>
                <w:shd w:val="clear" w:color="auto" w:fill="auto"/>
                <w:lang w:val="zh-CN"/>
              </w:rPr>
              <w:t>1、“电子加密投标文件”的上传、递交，具体详见《政府采购项目电子交易管理操作指南-供应商》(供应商自行去政采云系统上进行下载):</w:t>
            </w:r>
          </w:p>
          <w:p w14:paraId="132E2AE2">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szCs w:val="21"/>
                <w:highlight w:val="none"/>
                <w:shd w:val="clear" w:color="auto" w:fill="auto"/>
                <w:lang w:val="zh-CN"/>
              </w:rPr>
            </w:pPr>
            <w:r>
              <w:rPr>
                <w:rFonts w:hint="eastAsia" w:ascii="宋体" w:hAnsi="宋体" w:eastAsia="宋体" w:cs="宋体"/>
                <w:b w:val="0"/>
                <w:bCs w:val="0"/>
                <w:color w:val="auto"/>
                <w:szCs w:val="21"/>
                <w:highlight w:val="none"/>
                <w:shd w:val="clear" w:color="auto" w:fill="auto"/>
                <w:lang w:val="zh-CN"/>
              </w:rPr>
              <w:t>(1)供应商应在投标文件递交截止时间前将“电子加密投标文件”成功上传递交至“政府采购云平台”，采购代理机构开启解密标书后，方可解密电子加密投标文件。</w:t>
            </w:r>
          </w:p>
          <w:p w14:paraId="45F5A77E">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szCs w:val="21"/>
                <w:highlight w:val="none"/>
                <w:shd w:val="clear" w:color="auto" w:fill="auto"/>
                <w:lang w:val="zh-CN"/>
              </w:rPr>
            </w:pPr>
            <w:r>
              <w:rPr>
                <w:rFonts w:hint="eastAsia" w:ascii="宋体" w:hAnsi="宋体" w:eastAsia="宋体" w:cs="宋体"/>
                <w:b w:val="0"/>
                <w:bCs w:val="0"/>
                <w:color w:val="auto"/>
                <w:szCs w:val="21"/>
                <w:highlight w:val="none"/>
                <w:shd w:val="clear" w:color="auto" w:fill="auto"/>
                <w:lang w:val="zh-CN"/>
              </w:rPr>
              <w:t>(2)电子加密投标文件上传成功后，在“电子投标文件上传一进行中”标签页下，显示状态为“已上传”。可在此处下载打印回执;在提交响应文件截止时间前，供应商可撤回电子加密投标文件，修改内容。</w:t>
            </w:r>
          </w:p>
          <w:p w14:paraId="35A530CD">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szCs w:val="21"/>
                <w:highlight w:val="none"/>
                <w:shd w:val="clear" w:color="auto" w:fill="auto"/>
                <w:lang w:val="zh-CN"/>
              </w:rPr>
            </w:pPr>
            <w:r>
              <w:rPr>
                <w:rFonts w:hint="eastAsia" w:ascii="宋体" w:hAnsi="宋体" w:eastAsia="宋体" w:cs="宋体"/>
                <w:b w:val="0"/>
                <w:bCs w:val="0"/>
                <w:color w:val="auto"/>
                <w:szCs w:val="21"/>
                <w:highlight w:val="none"/>
                <w:shd w:val="clear" w:color="auto" w:fill="auto"/>
                <w:lang w:val="zh-CN"/>
              </w:rPr>
              <w:t>2、“备份投标文件”的递交要求:应通过“政府采购云平台”成功上传递交的“电子加密投标文件”已按规定时间解密。无法按时解密的，以操作指南执行。</w:t>
            </w:r>
          </w:p>
          <w:p w14:paraId="2A6844C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szCs w:val="21"/>
                <w:highlight w:val="none"/>
                <w:shd w:val="clear" w:color="auto" w:fill="auto"/>
                <w:lang w:val="zh-CN"/>
              </w:rPr>
              <w:t>3、解密 CA 必须是上传并制作电子响应文件 CA 锁。</w:t>
            </w:r>
          </w:p>
        </w:tc>
      </w:tr>
      <w:tr w14:paraId="601F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A65EA41">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0B03862">
            <w:pPr>
              <w:spacing w:line="460" w:lineRule="exact"/>
              <w:jc w:val="center"/>
              <w:rPr>
                <w:rFonts w:hint="eastAsia" w:ascii="宋体" w:hAnsi="宋体"/>
                <w:b w:val="0"/>
                <w:bCs w:val="0"/>
                <w:color w:val="auto"/>
                <w:kern w:val="2"/>
                <w:sz w:val="21"/>
                <w:highlight w:val="none"/>
                <w:lang w:val="zh-CN" w:eastAsia="zh-CN" w:bidi="ar-SA"/>
              </w:rPr>
            </w:pPr>
            <w:r>
              <w:rPr>
                <w:rFonts w:hint="eastAsia" w:ascii="宋体" w:hAnsi="宋体" w:eastAsia="宋体" w:cs="宋体"/>
                <w:b w:val="0"/>
                <w:bCs w:val="0"/>
                <w:color w:val="auto"/>
                <w:szCs w:val="21"/>
                <w:highlight w:val="none"/>
                <w:shd w:val="clear" w:color="auto" w:fill="auto"/>
                <w:lang w:val="en-US" w:eastAsia="zh-CN"/>
              </w:rPr>
              <w:t>解密</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596DDA2C">
            <w:pPr>
              <w:spacing w:line="460" w:lineRule="exact"/>
              <w:jc w:val="left"/>
              <w:rPr>
                <w:rFonts w:hint="eastAsia" w:ascii="宋体" w:hAnsi="宋体"/>
                <w:b w:val="0"/>
                <w:bCs w:val="0"/>
                <w:color w:val="auto"/>
                <w:highlight w:val="none"/>
                <w:lang w:eastAsia="zh-CN"/>
              </w:rPr>
            </w:pPr>
            <w:r>
              <w:rPr>
                <w:rFonts w:hint="eastAsia" w:ascii="宋体" w:hAnsi="宋体"/>
                <w:b w:val="0"/>
                <w:bCs w:val="0"/>
                <w:color w:val="auto"/>
                <w:highlight w:val="none"/>
                <w:lang w:eastAsia="zh-CN"/>
              </w:rPr>
              <w:t>各供应商代表应当在</w:t>
            </w:r>
            <w:r>
              <w:rPr>
                <w:rFonts w:hint="eastAsia" w:ascii="宋体" w:hAnsi="宋体" w:eastAsia="宋体" w:cs="仿宋_GB2312"/>
                <w:b w:val="0"/>
                <w:bCs w:val="0"/>
                <w:color w:val="auto"/>
                <w:kern w:val="0"/>
                <w:szCs w:val="21"/>
                <w:highlight w:val="none"/>
              </w:rPr>
              <w:t>开标时间后</w:t>
            </w:r>
            <w:r>
              <w:rPr>
                <w:rFonts w:hint="eastAsia" w:ascii="宋体" w:hAnsi="宋体" w:eastAsia="宋体" w:cs="仿宋_GB2312"/>
                <w:b w:val="0"/>
                <w:bCs w:val="0"/>
                <w:color w:val="auto"/>
                <w:kern w:val="0"/>
                <w:szCs w:val="21"/>
                <w:highlight w:val="none"/>
                <w:lang w:val="en-US" w:eastAsia="zh-CN"/>
              </w:rPr>
              <w:t>30</w:t>
            </w:r>
            <w:r>
              <w:rPr>
                <w:rFonts w:hint="eastAsia" w:ascii="宋体" w:hAnsi="宋体" w:eastAsia="宋体" w:cs="仿宋_GB2312"/>
                <w:b w:val="0"/>
                <w:bCs w:val="0"/>
                <w:color w:val="auto"/>
                <w:kern w:val="0"/>
                <w:szCs w:val="21"/>
                <w:highlight w:val="none"/>
              </w:rPr>
              <w:t>分钟内</w:t>
            </w:r>
            <w:r>
              <w:rPr>
                <w:rFonts w:hint="eastAsia" w:ascii="宋体" w:hAnsi="宋体"/>
                <w:b w:val="0"/>
                <w:bCs w:val="0"/>
                <w:color w:val="auto"/>
                <w:highlight w:val="none"/>
                <w:lang w:eastAsia="zh-CN"/>
              </w:rPr>
              <w:t>自行完成“电子加密投标文件”的在线解密，</w:t>
            </w:r>
            <w:r>
              <w:rPr>
                <w:rFonts w:hint="eastAsia" w:ascii="宋体" w:hAnsi="宋体" w:eastAsia="宋体" w:cs="仿宋_GB2312"/>
                <w:b w:val="0"/>
                <w:bCs w:val="0"/>
                <w:color w:val="auto"/>
                <w:kern w:val="0"/>
                <w:szCs w:val="21"/>
                <w:highlight w:val="none"/>
              </w:rPr>
              <w:t>由供应商持制作该电子响应文件的同一数字证书（CA锁）及电脑进行远程解密（各供应商开标前及网上开评标系统公布供应商名单前，不要提前进行远程解密；具体解密时间在直播时采购代理机构工作人员会进行通知）</w:t>
            </w:r>
            <w:r>
              <w:rPr>
                <w:rFonts w:hint="eastAsia" w:ascii="宋体" w:hAnsi="宋体"/>
                <w:b w:val="0"/>
                <w:bCs w:val="0"/>
                <w:color w:val="auto"/>
                <w:highlight w:val="none"/>
                <w:lang w:eastAsia="zh-CN"/>
              </w:rPr>
              <w:t>。</w:t>
            </w:r>
          </w:p>
          <w:p w14:paraId="41966A8D">
            <w:pPr>
              <w:spacing w:line="460" w:lineRule="exact"/>
              <w:jc w:val="left"/>
              <w:rPr>
                <w:rFonts w:hint="eastAsia" w:ascii="宋体" w:hAnsi="宋体"/>
                <w:b w:val="0"/>
                <w:bCs w:val="0"/>
                <w:color w:val="auto"/>
                <w:highlight w:val="none"/>
                <w:lang w:eastAsia="zh-CN"/>
              </w:rPr>
            </w:pPr>
            <w:r>
              <w:rPr>
                <w:rFonts w:hint="eastAsia" w:ascii="宋体" w:hAnsi="宋体"/>
                <w:b w:val="0"/>
                <w:bCs w:val="0"/>
                <w:color w:val="auto"/>
                <w:highlight w:val="none"/>
                <w:lang w:eastAsia="zh-CN"/>
              </w:rPr>
              <w:t>（1）如政采云上电子加密投标文件出现解密失败情况，供应商应根据操作指南或联系采购代理机构，处理后政采云系统仍无法识别，不能成功上传的视为电子响应文件撤回。</w:t>
            </w:r>
          </w:p>
          <w:p w14:paraId="57BFFECA">
            <w:pPr>
              <w:spacing w:line="460" w:lineRule="exact"/>
              <w:jc w:val="left"/>
              <w:rPr>
                <w:rFonts w:hint="eastAsia" w:ascii="宋体" w:hAnsi="宋体"/>
                <w:b w:val="0"/>
                <w:bCs w:val="0"/>
                <w:color w:val="auto"/>
                <w:highlight w:val="none"/>
                <w:lang w:eastAsia="zh-CN"/>
              </w:rPr>
            </w:pPr>
            <w:r>
              <w:rPr>
                <w:rFonts w:hint="eastAsia" w:ascii="宋体" w:hAnsi="宋体"/>
                <w:b w:val="0"/>
                <w:bCs w:val="0"/>
                <w:color w:val="auto"/>
                <w:highlight w:val="none"/>
                <w:lang w:eastAsia="zh-CN"/>
              </w:rPr>
              <w:t>（2）投标方无需在开标当天到达开标现场对电子投标进行解密，可在公司办公场地在规定时间内对电子投标文件进行解密。</w:t>
            </w:r>
          </w:p>
          <w:p w14:paraId="5CDD6FBA">
            <w:pPr>
              <w:spacing w:line="460" w:lineRule="exact"/>
              <w:jc w:val="left"/>
              <w:rPr>
                <w:rFonts w:hint="eastAsia"/>
                <w:b w:val="0"/>
                <w:bCs w:val="0"/>
                <w:color w:val="auto"/>
                <w:kern w:val="2"/>
                <w:sz w:val="21"/>
                <w:highlight w:val="none"/>
                <w:lang w:val="zh-CN" w:eastAsia="zh-CN" w:bidi="ar-SA"/>
              </w:rPr>
            </w:pPr>
            <w:r>
              <w:rPr>
                <w:rFonts w:hint="eastAsia" w:ascii="宋体" w:hAnsi="宋体" w:eastAsia="宋体" w:cs="Times New Roman"/>
                <w:b w:val="0"/>
                <w:bCs w:val="0"/>
                <w:color w:val="auto"/>
                <w:highlight w:val="none"/>
                <w:lang w:eastAsia="zh-CN"/>
              </w:rPr>
              <w:t>（</w:t>
            </w:r>
            <w:r>
              <w:rPr>
                <w:rFonts w:hint="eastAsia" w:ascii="宋体" w:hAnsi="宋体" w:eastAsia="宋体" w:cs="Times New Roman"/>
                <w:b w:val="0"/>
                <w:bCs w:val="0"/>
                <w:color w:val="auto"/>
                <w:highlight w:val="none"/>
                <w:lang w:val="en-US" w:eastAsia="zh-CN"/>
              </w:rPr>
              <w:t>3</w:t>
            </w:r>
            <w:r>
              <w:rPr>
                <w:rFonts w:hint="eastAsia" w:ascii="宋体" w:hAnsi="宋体" w:eastAsia="宋体" w:cs="Times New Roman"/>
                <w:b w:val="0"/>
                <w:bCs w:val="0"/>
                <w:color w:val="auto"/>
                <w:highlight w:val="none"/>
                <w:lang w:eastAsia="zh-CN"/>
              </w:rPr>
              <w:t>）因投标人自身原因未能按时完成解密的，视为逾期未提交投标响应文件，其投标无效。</w:t>
            </w:r>
          </w:p>
        </w:tc>
      </w:tr>
      <w:tr w14:paraId="1CF9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1BCA06D">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84B733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递交投标文件地点</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A5B6E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点：</w:t>
            </w:r>
            <w:r>
              <w:rPr>
                <w:rFonts w:hint="eastAsia" w:ascii="宋体" w:hAnsi="宋体" w:eastAsia="宋体" w:cs="宋体"/>
                <w:bCs/>
                <w:color w:val="auto"/>
                <w:szCs w:val="21"/>
                <w:highlight w:val="none"/>
                <w:shd w:val="clear" w:color="auto" w:fill="auto"/>
                <w:lang w:val="zh-CN"/>
              </w:rPr>
              <w:t>“政采云”平台</w:t>
            </w:r>
          </w:p>
          <w:p w14:paraId="6D4BE0F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递交</w:t>
            </w:r>
            <w:r>
              <w:rPr>
                <w:rFonts w:hint="eastAsia" w:ascii="宋体" w:hAnsi="宋体" w:eastAsia="宋体" w:cs="宋体"/>
                <w:color w:val="auto"/>
                <w:highlight w:val="none"/>
              </w:rPr>
              <w:t>截止时间：</w:t>
            </w:r>
            <w:r>
              <w:rPr>
                <w:rFonts w:hint="eastAsia" w:ascii="宋体" w:hAnsi="宋体" w:cs="宋体"/>
                <w:color w:val="auto"/>
                <w:szCs w:val="22"/>
                <w:highlight w:val="none"/>
                <w:lang w:eastAsia="zh-CN"/>
              </w:rPr>
              <w:t>2026年06月04日9:00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2"/>
                <w:highlight w:val="none"/>
                <w:lang w:eastAsia="zh-CN"/>
              </w:rPr>
              <w:t>（北京时间）</w:t>
            </w:r>
          </w:p>
        </w:tc>
      </w:tr>
      <w:tr w14:paraId="29DC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980FDC9">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35</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4949A95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是否退还投标文件</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5168D6E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不退还。</w:t>
            </w:r>
          </w:p>
        </w:tc>
      </w:tr>
      <w:tr w14:paraId="330A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05177E1">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4126DAE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0AA948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开标时间：</w:t>
            </w:r>
            <w:r>
              <w:rPr>
                <w:rFonts w:hint="eastAsia" w:ascii="宋体" w:hAnsi="宋体" w:cs="宋体"/>
                <w:color w:val="auto"/>
                <w:szCs w:val="22"/>
                <w:highlight w:val="none"/>
                <w:lang w:eastAsia="zh-CN"/>
              </w:rPr>
              <w:t>2026年06月04日9:00</w:t>
            </w:r>
            <w:r>
              <w:rPr>
                <w:rFonts w:hint="eastAsia" w:ascii="宋体" w:hAnsi="宋体" w:eastAsia="宋体" w:cs="宋体"/>
                <w:color w:val="auto"/>
                <w:szCs w:val="22"/>
                <w:highlight w:val="none"/>
                <w:lang w:eastAsia="zh-CN"/>
              </w:rPr>
              <w:t>（北京时间）</w:t>
            </w:r>
          </w:p>
          <w:p w14:paraId="764F358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开标地点：</w:t>
            </w:r>
            <w:r>
              <w:rPr>
                <w:rFonts w:hint="eastAsia" w:ascii="宋体" w:hAnsi="宋体" w:eastAsia="宋体" w:cs="宋体"/>
                <w:color w:val="auto"/>
                <w:szCs w:val="22"/>
                <w:highlight w:val="none"/>
                <w:lang w:val="en-US" w:eastAsia="zh-CN"/>
              </w:rPr>
              <w:t>长春市二道区洋浦大街凯利中心AB栋101室</w:t>
            </w:r>
            <w:r>
              <w:rPr>
                <w:rFonts w:hint="eastAsia" w:ascii="宋体" w:hAnsi="宋体" w:cs="宋体"/>
                <w:color w:val="auto"/>
                <w:szCs w:val="22"/>
                <w:highlight w:val="none"/>
                <w:lang w:val="en-US" w:eastAsia="zh-CN"/>
              </w:rPr>
              <w:t>开标一室</w:t>
            </w:r>
            <w:r>
              <w:rPr>
                <w:rFonts w:hint="eastAsia" w:ascii="宋体" w:hAnsi="宋体" w:eastAsia="宋体" w:cs="宋体"/>
                <w:color w:val="auto"/>
                <w:highlight w:val="none"/>
              </w:rPr>
              <w:t>。</w:t>
            </w:r>
          </w:p>
        </w:tc>
      </w:tr>
      <w:tr w14:paraId="20EE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restart"/>
            <w:tcBorders>
              <w:top w:val="single" w:color="auto" w:sz="4" w:space="0"/>
              <w:left w:val="single" w:color="auto" w:sz="4" w:space="0"/>
              <w:right w:val="single" w:color="auto" w:sz="4" w:space="0"/>
            </w:tcBorders>
            <w:noWrap w:val="0"/>
            <w:vAlign w:val="center"/>
          </w:tcPr>
          <w:p w14:paraId="78C3EA7C">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37</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F699B7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eastAsia="zh-CN"/>
              </w:rPr>
              <w:t>是否</w:t>
            </w:r>
            <w:r>
              <w:rPr>
                <w:rFonts w:hint="eastAsia" w:ascii="宋体" w:hAnsi="宋体" w:eastAsia="宋体" w:cs="宋体"/>
                <w:color w:val="auto"/>
                <w:highlight w:val="none"/>
                <w:lang w:val="zh-CN" w:eastAsia="zh-CN"/>
              </w:rPr>
              <w:t>采用</w:t>
            </w:r>
          </w:p>
          <w:p w14:paraId="50E8A22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eastAsia="zh-CN"/>
              </w:rPr>
              <w:t>异地评审</w:t>
            </w:r>
            <w:r>
              <w:rPr>
                <w:rFonts w:hint="eastAsia" w:ascii="宋体" w:hAnsi="宋体" w:eastAsia="宋体" w:cs="宋体"/>
                <w:color w:val="auto"/>
                <w:highlight w:val="none"/>
                <w:lang w:val="zh-CN" w:eastAsia="zh-CN"/>
              </w:rPr>
              <w:t>”评审方式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187232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是</w:t>
            </w:r>
          </w:p>
        </w:tc>
      </w:tr>
      <w:tr w14:paraId="4789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continue"/>
            <w:tcBorders>
              <w:left w:val="single" w:color="auto" w:sz="4" w:space="0"/>
              <w:bottom w:val="single" w:color="auto" w:sz="4" w:space="0"/>
              <w:right w:val="single" w:color="auto" w:sz="4" w:space="0"/>
            </w:tcBorders>
            <w:noWrap w:val="0"/>
            <w:vAlign w:val="center"/>
          </w:tcPr>
          <w:p w14:paraId="30BFC86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E23EBC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评标委员会的组建</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36A5035">
            <w:pPr>
              <w:keepNext w:val="0"/>
              <w:keepLines w:val="0"/>
              <w:pageBreakBefore w:val="0"/>
              <w:widowControl w:val="0"/>
              <w:kinsoku/>
              <w:wordWrap/>
              <w:overflowPunct/>
              <w:topLinePunct w:val="0"/>
              <w:bidi w:val="0"/>
              <w:adjustRightInd/>
              <w:snapToGrid/>
              <w:spacing w:line="240" w:lineRule="auto"/>
              <w:jc w:val="left"/>
              <w:textAlignment w:val="auto"/>
              <w:rPr>
                <w:rFonts w:hint="eastAsia" w:ascii="Times New Roman" w:hAnsi="Times New Roman" w:eastAsia="宋体" w:cs="Times New Roman"/>
                <w:color w:val="auto"/>
                <w:sz w:val="21"/>
                <w:szCs w:val="20"/>
                <w:highlight w:val="none"/>
                <w:lang w:val="zh-CN" w:eastAsia="zh-CN"/>
              </w:rPr>
            </w:pPr>
            <w:r>
              <w:rPr>
                <w:rFonts w:hint="eastAsia" w:ascii="宋体" w:hAnsi="宋体" w:eastAsia="宋体" w:cs="宋体"/>
                <w:color w:val="auto"/>
                <w:highlight w:val="none"/>
              </w:rPr>
              <w:t>评标委员会</w:t>
            </w:r>
            <w:r>
              <w:rPr>
                <w:rFonts w:hint="eastAsia" w:ascii="宋体" w:hAnsi="宋体" w:eastAsia="宋体" w:cs="宋体"/>
                <w:color w:val="auto"/>
                <w:highlight w:val="none"/>
                <w:lang w:val="en-US" w:eastAsia="zh-CN"/>
              </w:rPr>
              <w:t>组成：7人，</w:t>
            </w:r>
            <w:r>
              <w:rPr>
                <w:rFonts w:hint="eastAsia" w:ascii="Times New Roman" w:hAnsi="Times New Roman" w:eastAsia="宋体" w:cs="Times New Roman"/>
                <w:color w:val="auto"/>
                <w:sz w:val="21"/>
                <w:szCs w:val="20"/>
                <w:highlight w:val="none"/>
                <w:lang w:val="zh-CN" w:eastAsia="zh-CN"/>
              </w:rPr>
              <w:t>其中采购人代表</w:t>
            </w:r>
            <w:r>
              <w:rPr>
                <w:rFonts w:hint="eastAsia"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zh-CN" w:eastAsia="zh-CN"/>
              </w:rPr>
              <w:t>人，经济、技术专家</w:t>
            </w:r>
            <w:r>
              <w:rPr>
                <w:rFonts w:hint="eastAsia" w:ascii="Times New Roman" w:hAnsi="Times New Roman" w:eastAsia="宋体" w:cs="Times New Roman"/>
                <w:color w:val="auto"/>
                <w:sz w:val="21"/>
                <w:szCs w:val="20"/>
                <w:highlight w:val="none"/>
                <w:lang w:val="en-US" w:eastAsia="zh-CN"/>
              </w:rPr>
              <w:t>6</w:t>
            </w:r>
            <w:r>
              <w:rPr>
                <w:rFonts w:hint="eastAsia" w:ascii="Times New Roman" w:hAnsi="Times New Roman" w:eastAsia="宋体" w:cs="Times New Roman"/>
                <w:color w:val="auto"/>
                <w:sz w:val="21"/>
                <w:szCs w:val="20"/>
                <w:highlight w:val="none"/>
                <w:lang w:val="zh-CN" w:eastAsia="zh-CN"/>
              </w:rPr>
              <w:t>人。</w:t>
            </w:r>
          </w:p>
          <w:p w14:paraId="325B7A1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sz w:val="21"/>
                <w:szCs w:val="20"/>
                <w:highlight w:val="none"/>
                <w:lang w:val="zh-CN" w:eastAsia="zh-CN"/>
              </w:rPr>
              <w:t>经济、技术专家确定方式：</w:t>
            </w:r>
            <w:r>
              <w:rPr>
                <w:rFonts w:hint="eastAsia" w:ascii="Times New Roman" w:hAnsi="Times New Roman" w:eastAsia="宋体" w:cs="Times New Roman"/>
                <w:color w:val="auto"/>
                <w:sz w:val="21"/>
                <w:szCs w:val="20"/>
                <w:highlight w:val="none"/>
                <w:lang w:val="en-US" w:eastAsia="zh-CN"/>
              </w:rPr>
              <w:t>从政采云专家库中随机抽取产生。</w:t>
            </w:r>
          </w:p>
        </w:tc>
      </w:tr>
      <w:tr w14:paraId="176D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02AA0FBE">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38</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7DD200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是否授权评标委员会确定中标人</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5887057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否，磋商小组应当根据综合评分情况，确定排序第一的成交候选供应商为本项目预成交供应商。</w:t>
            </w:r>
          </w:p>
        </w:tc>
      </w:tr>
      <w:tr w14:paraId="64AD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0B63F8FA">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39</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81C93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rPr>
              <w:t>履约保证金</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CC2576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kern w:val="2"/>
                <w:sz w:val="21"/>
                <w:highlight w:val="none"/>
                <w:lang w:val="en-US" w:eastAsia="zh-CN" w:bidi="ar-SA"/>
              </w:rPr>
              <w:t>收取合同金额的3%，验收合格后一次性无息返还。</w:t>
            </w:r>
          </w:p>
        </w:tc>
      </w:tr>
      <w:tr w14:paraId="00B8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2C9FFDEA">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40</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C1CA45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rPr>
              <w:t>付款方式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4B284AA">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kern w:val="2"/>
                <w:sz w:val="21"/>
                <w:highlight w:val="none"/>
                <w:lang w:val="en-US" w:eastAsia="zh-CN" w:bidi="ar-SA"/>
              </w:rPr>
              <w:t>合同签订后全部设备安全完好送达指定位置支付合同金额约50%，安装调试、验收合格后支付剩余金额约50%。</w:t>
            </w:r>
          </w:p>
        </w:tc>
      </w:tr>
      <w:tr w14:paraId="3184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53C3568">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41</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40D2D6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rPr>
              <w:t>质保期</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E4193F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cs="宋体"/>
                <w:b w:val="0"/>
                <w:bCs w:val="0"/>
                <w:color w:val="auto"/>
                <w:kern w:val="2"/>
                <w:sz w:val="21"/>
                <w:highlight w:val="none"/>
                <w:lang w:val="en-US" w:eastAsia="zh-CN" w:bidi="ar-SA"/>
              </w:rPr>
              <w:t>3年</w:t>
            </w:r>
          </w:p>
        </w:tc>
      </w:tr>
      <w:tr w14:paraId="74BA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restart"/>
            <w:tcBorders>
              <w:top w:val="single" w:color="auto" w:sz="4" w:space="0"/>
              <w:left w:val="single" w:color="auto" w:sz="4" w:space="0"/>
              <w:right w:val="single" w:color="auto" w:sz="4" w:space="0"/>
            </w:tcBorders>
            <w:noWrap w:val="0"/>
            <w:vAlign w:val="center"/>
          </w:tcPr>
          <w:p w14:paraId="07DC17D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lang w:val="en-US" w:eastAsia="zh-CN"/>
              </w:rPr>
              <w:t>42</w:t>
            </w:r>
          </w:p>
        </w:tc>
        <w:tc>
          <w:tcPr>
            <w:tcW w:w="2969" w:type="dxa"/>
            <w:vMerge w:val="restart"/>
            <w:tcBorders>
              <w:top w:val="single" w:color="auto" w:sz="4" w:space="0"/>
              <w:left w:val="single" w:color="auto" w:sz="4" w:space="0"/>
              <w:right w:val="single" w:color="auto" w:sz="4" w:space="0"/>
            </w:tcBorders>
            <w:noWrap w:val="0"/>
            <w:vAlign w:val="center"/>
          </w:tcPr>
          <w:p w14:paraId="569F838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rPr>
              <w:t>售后服务的要求</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D71084">
            <w:pPr>
              <w:keepNext w:val="0"/>
              <w:keepLines w:val="0"/>
              <w:pageBreakBefore w:val="0"/>
              <w:widowControl w:val="0"/>
              <w:kinsoku/>
              <w:wordWrap/>
              <w:overflowPunct/>
              <w:topLinePunct w:val="0"/>
              <w:autoSpaceDE/>
              <w:autoSpaceDN/>
              <w:bidi w:val="0"/>
              <w:snapToGrid/>
              <w:spacing w:line="360" w:lineRule="exact"/>
              <w:ind w:left="0" w:leftChars="0" w:right="0" w:rightChars="0"/>
              <w:jc w:val="both"/>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一标段：</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质保期内提供7x24小时免费上门</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服务</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，所有服务不计费用，30分钟之内响应，2小时到达现场，</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提供产品质量保障，有质量问题免费更换</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tc>
      </w:tr>
      <w:tr w14:paraId="454F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continue"/>
            <w:tcBorders>
              <w:left w:val="single" w:color="auto" w:sz="4" w:space="0"/>
              <w:bottom w:val="single" w:color="auto" w:sz="4" w:space="0"/>
              <w:right w:val="single" w:color="auto" w:sz="4" w:space="0"/>
            </w:tcBorders>
            <w:noWrap w:val="0"/>
            <w:vAlign w:val="center"/>
          </w:tcPr>
          <w:p w14:paraId="642F6AF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lang w:val="en-US" w:eastAsia="zh-CN"/>
              </w:rPr>
            </w:pPr>
          </w:p>
        </w:tc>
        <w:tc>
          <w:tcPr>
            <w:tcW w:w="2969" w:type="dxa"/>
            <w:vMerge w:val="continue"/>
            <w:tcBorders>
              <w:left w:val="single" w:color="auto" w:sz="4" w:space="0"/>
              <w:bottom w:val="single" w:color="auto" w:sz="4" w:space="0"/>
              <w:right w:val="single" w:color="auto" w:sz="4" w:space="0"/>
            </w:tcBorders>
            <w:noWrap w:val="0"/>
            <w:vAlign w:val="center"/>
          </w:tcPr>
          <w:p w14:paraId="2F23C2E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highlight w:val="none"/>
              </w:rPr>
            </w:pPr>
          </w:p>
        </w:tc>
        <w:tc>
          <w:tcPr>
            <w:tcW w:w="6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CC6F7">
            <w:pPr>
              <w:keepNext w:val="0"/>
              <w:keepLines w:val="0"/>
              <w:pageBreakBefore w:val="0"/>
              <w:kinsoku/>
              <w:wordWrap/>
              <w:overflowPunct/>
              <w:topLinePunct w:val="0"/>
              <w:bidi w:val="0"/>
              <w:spacing w:line="360" w:lineRule="exact"/>
              <w:ind w:left="0" w:leftChars="0" w:right="0" w:rightChars="0"/>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sz w:val="21"/>
                <w:szCs w:val="21"/>
                <w:highlight w:val="none"/>
                <w:lang w:val="en-US" w:eastAsia="zh-CN"/>
              </w:rPr>
              <w:t>二标段：质保期内提供7x24小时电话支持服务，5*8小时免费上门维修维护，所有服务及配件不计费用，30分钟之内响应，2小时到达现场，质保期外成本维修。</w:t>
            </w:r>
          </w:p>
        </w:tc>
      </w:tr>
      <w:tr w14:paraId="2BBD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68" w:type="dxa"/>
            <w:tcBorders>
              <w:top w:val="single" w:color="auto" w:sz="4" w:space="0"/>
              <w:left w:val="single" w:color="auto" w:sz="4" w:space="0"/>
              <w:right w:val="single" w:color="auto" w:sz="4" w:space="0"/>
            </w:tcBorders>
            <w:noWrap w:val="0"/>
            <w:vAlign w:val="center"/>
          </w:tcPr>
          <w:p w14:paraId="7F9D5D4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lang w:val="en-US" w:eastAsia="zh-CN"/>
              </w:rPr>
              <w:t>43</w:t>
            </w:r>
          </w:p>
        </w:tc>
        <w:tc>
          <w:tcPr>
            <w:tcW w:w="2969" w:type="dxa"/>
            <w:tcBorders>
              <w:top w:val="single" w:color="auto" w:sz="4" w:space="0"/>
              <w:left w:val="single" w:color="auto" w:sz="4" w:space="0"/>
              <w:right w:val="single" w:color="auto" w:sz="4" w:space="0"/>
            </w:tcBorders>
            <w:noWrap w:val="0"/>
            <w:vAlign w:val="center"/>
          </w:tcPr>
          <w:p w14:paraId="64B221CA">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合同方式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BBEA0BF">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kern w:val="2"/>
                <w:sz w:val="21"/>
                <w:highlight w:val="none"/>
                <w:lang w:val="en-US" w:eastAsia="zh-CN" w:bidi="ar-SA"/>
              </w:rPr>
              <w:t>固定总价合同</w:t>
            </w:r>
          </w:p>
        </w:tc>
      </w:tr>
      <w:tr w14:paraId="79E5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7584AC02">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lang w:val="en-US" w:eastAsia="zh-CN"/>
              </w:rPr>
              <w:t>44</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09EB7D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rPr>
              <w:t>招标控制价（人民币）</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FCA25B5">
            <w:pPr>
              <w:keepNext w:val="0"/>
              <w:keepLines w:val="0"/>
              <w:pageBreakBefore w:val="0"/>
              <w:kinsoku/>
              <w:wordWrap/>
              <w:overflowPunct/>
              <w:topLinePunct w:val="0"/>
              <w:bidi w:val="0"/>
              <w:spacing w:line="360" w:lineRule="exact"/>
              <w:ind w:left="0" w:leftChars="0" w:right="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一标段：8359000元；二标段：3235680元。</w:t>
            </w:r>
          </w:p>
          <w:p w14:paraId="0E284677">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kern w:val="2"/>
                <w:sz w:val="21"/>
                <w:highlight w:val="none"/>
                <w:lang w:val="en-US" w:eastAsia="zh-CN" w:bidi="ar-SA"/>
              </w:rPr>
            </w:pPr>
            <w:r>
              <w:rPr>
                <w:rFonts w:hint="eastAsia" w:asciiTheme="majorEastAsia" w:hAnsiTheme="majorEastAsia" w:eastAsiaTheme="majorEastAsia" w:cstheme="majorEastAsia"/>
                <w:bCs/>
                <w:color w:val="auto"/>
                <w:sz w:val="21"/>
                <w:szCs w:val="21"/>
                <w:highlight w:val="none"/>
              </w:rPr>
              <w:t>（投标报价超出采购预算视为废标）</w:t>
            </w:r>
          </w:p>
        </w:tc>
      </w:tr>
      <w:tr w14:paraId="11EE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8B8B87B">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lang w:val="en-US" w:eastAsia="zh-CN"/>
              </w:rPr>
              <w:t>45</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4FD2B8E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rPr>
              <w:t>评审办法</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7C1DA1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lang w:val="en-US" w:eastAsia="zh-CN"/>
              </w:rPr>
              <w:t>最低评标价</w:t>
            </w:r>
            <w:r>
              <w:rPr>
                <w:rFonts w:hint="eastAsia" w:ascii="宋体" w:hAnsi="宋体" w:eastAsia="宋体" w:cs="宋体"/>
                <w:b w:val="0"/>
                <w:bCs w:val="0"/>
                <w:color w:val="auto"/>
                <w:highlight w:val="none"/>
              </w:rPr>
              <w:t>法。</w:t>
            </w:r>
          </w:p>
        </w:tc>
      </w:tr>
      <w:tr w14:paraId="46F5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3097F95B">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46</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6A8B92A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rPr>
              <w:t>招标代理服务费</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CE7330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highlight w:val="none"/>
                <w:lang w:val="en-US" w:eastAsia="zh-CN" w:bidi="ar-SA"/>
              </w:rPr>
            </w:pPr>
            <w:r>
              <w:rPr>
                <w:rFonts w:hint="eastAsia" w:ascii="Times New Roman" w:hAnsi="Times New Roman" w:eastAsia="宋体" w:cs="Times New Roman"/>
                <w:b w:val="0"/>
                <w:bCs w:val="0"/>
                <w:color w:val="auto"/>
                <w:highlight w:val="none"/>
                <w:lang w:val="zh-CN"/>
              </w:rPr>
              <w:t>执行国家发展改革委《关于进一步放开建设项目专业服务价格的通知》（发改价格〔2015〕299号），实行市场调节价格，</w:t>
            </w:r>
            <w:r>
              <w:rPr>
                <w:rFonts w:hint="eastAsia" w:ascii="Times New Roman" w:hAnsi="Times New Roman" w:eastAsia="宋体" w:cs="Times New Roman"/>
                <w:b w:val="0"/>
                <w:bCs w:val="0"/>
                <w:color w:val="auto"/>
                <w:highlight w:val="none"/>
                <w:lang w:val="en-US" w:eastAsia="zh-CN"/>
              </w:rPr>
              <w:t>金额为中标价格的1%计取，并在此标准的基础上，按4折收取</w:t>
            </w:r>
            <w:r>
              <w:rPr>
                <w:rFonts w:hint="eastAsia" w:ascii="Times New Roman" w:hAnsi="Times New Roman" w:eastAsia="宋体" w:cs="Times New Roman"/>
                <w:b w:val="0"/>
                <w:bCs w:val="0"/>
                <w:color w:val="auto"/>
                <w:highlight w:val="none"/>
                <w:lang w:val="zh-CN"/>
              </w:rPr>
              <w:t>，由中标单位支付。</w:t>
            </w:r>
          </w:p>
        </w:tc>
      </w:tr>
      <w:tr w14:paraId="383D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D5305EA">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47</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049933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val="0"/>
                <w:bCs w:val="0"/>
                <w:color w:val="auto"/>
                <w:szCs w:val="21"/>
                <w:highlight w:val="none"/>
                <w:shd w:val="clear" w:color="auto" w:fill="auto"/>
                <w:lang w:val="zh-CN" w:eastAsia="zh-CN"/>
              </w:rPr>
              <w:t>合同备案管理</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C79336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val="0"/>
                <w:bCs w:val="0"/>
                <w:color w:val="auto"/>
                <w:szCs w:val="21"/>
                <w:highlight w:val="none"/>
                <w:shd w:val="clear" w:color="auto" w:fill="auto"/>
                <w:lang w:val="zh-CN" w:eastAsia="zh-CN"/>
              </w:rPr>
              <w:t>成交供应商与采购人签订合同后2日内，将扫描件交于采购代理机构，采购代理机构协助采购人，将政府采购合同在省级以上人民政府部门指定的媒体上公告（政府采购合同中涉及国家秘密、商业秘密的内容除外）</w:t>
            </w:r>
          </w:p>
        </w:tc>
      </w:tr>
      <w:tr w14:paraId="296D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5AE7083">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48</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4F92DD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b w:val="0"/>
                <w:bCs w:val="0"/>
                <w:color w:val="auto"/>
                <w:highlight w:val="none"/>
              </w:rPr>
            </w:pPr>
            <w:r>
              <w:rPr>
                <w:rFonts w:hint="eastAsia" w:ascii="Times New Roman" w:hAnsi="Times New Roman" w:eastAsia="宋体" w:cs="Times New Roman"/>
                <w:b w:val="0"/>
                <w:bCs w:val="0"/>
                <w:color w:val="auto"/>
                <w:highlight w:val="none"/>
                <w:lang w:val="zh-CN"/>
              </w:rPr>
              <w:t>政府采购异常低价问题的</w:t>
            </w:r>
            <w:r>
              <w:rPr>
                <w:rFonts w:hint="eastAsia" w:ascii="Times New Roman" w:hAnsi="Times New Roman" w:eastAsia="宋体" w:cs="Times New Roman"/>
                <w:b w:val="0"/>
                <w:bCs w:val="0"/>
                <w:color w:val="auto"/>
                <w:highlight w:val="none"/>
                <w:lang w:val="en-US" w:eastAsia="zh-CN"/>
              </w:rPr>
              <w:t>处理</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A099EC7">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（一）政府采购评审中出现下列情形之一的，评审委员会应当启动异常低价投标（响应）审查程序：</w:t>
            </w:r>
          </w:p>
          <w:p w14:paraId="41B2AAC5">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1.投标（响应）报价低于全部通过符合性审查供应商投标（响应）报价平均值50%的，即投标（响应）报价&lt;全部通过符合性审查供应商投标（响应）报价平均值×50%；</w:t>
            </w:r>
          </w:p>
          <w:p w14:paraId="197F5881">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2.投标（响应）报价低于通过符合性审查的次低报价供应商投标（响应）报价50%的，即投标（响应）报价&lt;通过符合性审查的次低报价供应商投标（响应）报价×50%；</w:t>
            </w:r>
          </w:p>
          <w:p w14:paraId="22C66901">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3.投标（响应）报价低于采购项目最高限价45%的，即投标（响应）报价&lt;采购项目最高限价×45%；</w:t>
            </w:r>
          </w:p>
          <w:p w14:paraId="7333AD3B">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4.评审委员会基于专业判断，认为供应商报价过低，有可能影响产品质量或者不能诚信履约的其他情形。</w:t>
            </w:r>
          </w:p>
          <w:p w14:paraId="6C82D0A4">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相关法律法规对供应商报价有规定的，从其规定。</w:t>
            </w:r>
          </w:p>
          <w:p w14:paraId="10EF4330">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B8725">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232E76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C526FC6">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0A6D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19457B23">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49</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977FFB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highlight w:val="none"/>
                <w:lang w:val="zh-CN" w:eastAsia="zh-CN" w:bidi="ar-SA"/>
              </w:rPr>
            </w:pPr>
            <w:r>
              <w:rPr>
                <w:rFonts w:hint="eastAsia" w:ascii="宋体" w:hAnsi="宋体" w:eastAsia="宋体" w:cs="宋体"/>
                <w:b w:val="0"/>
                <w:bCs w:val="0"/>
                <w:color w:val="auto"/>
                <w:highlight w:val="none"/>
              </w:rPr>
              <w:t>需要补充的其他内容</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FEEB0A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zh-CN"/>
              </w:rPr>
              <w:t>按照财政部财库 [2014]68号、[2017]141号、[2019]9号、[2020]46号等文件要求，需要落实政府采购支持节能环保、中小企业发展等政策。</w:t>
            </w:r>
          </w:p>
          <w:p w14:paraId="750C451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本项目标的所属行业为</w:t>
            </w:r>
            <w:r>
              <w:rPr>
                <w:rFonts w:hint="eastAsia" w:ascii="宋体" w:hAnsi="宋体" w:eastAsia="宋体" w:cs="宋体"/>
                <w:b/>
                <w:bCs/>
                <w:color w:val="auto"/>
                <w:highlight w:val="none"/>
                <w:lang w:val="en-US" w:eastAsia="zh-CN"/>
              </w:rPr>
              <w:t>工业</w:t>
            </w:r>
            <w:r>
              <w:rPr>
                <w:rFonts w:hint="eastAsia" w:ascii="宋体" w:hAnsi="宋体" w:eastAsia="宋体" w:cs="宋体"/>
                <w:b w:val="0"/>
                <w:bCs w:val="0"/>
                <w:color w:val="auto"/>
                <w:highlight w:val="none"/>
                <w:lang w:val="en-US" w:eastAsia="zh-CN"/>
              </w:rPr>
              <w:t>。</w:t>
            </w:r>
          </w:p>
          <w:p w14:paraId="7A241B2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根据《政府采购促进中小企业发展管理办法》（财库〔2020〕46号）规定，本项目专门面向中小企业采购，供应商应出具合格的《中小企业声明函》。</w:t>
            </w:r>
          </w:p>
          <w:p w14:paraId="7AC0E10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highlight w:val="none"/>
                <w:lang w:val="en-US" w:eastAsia="zh-CN" w:bidi="ar-SA"/>
              </w:rPr>
            </w:pPr>
            <w:r>
              <w:rPr>
                <w:rFonts w:hint="eastAsia" w:ascii="宋体" w:hAnsi="宋体" w:eastAsia="宋体" w:cs="宋体"/>
                <w:b w:val="0"/>
                <w:bCs w:val="0"/>
                <w:color w:val="auto"/>
                <w:highlight w:val="none"/>
                <w:lang w:val="en-US" w:eastAsia="zh-CN"/>
              </w:rPr>
              <w:t>监狱企业、残疾人福利性单位视同小型、微型企业。</w:t>
            </w:r>
          </w:p>
        </w:tc>
      </w:tr>
      <w:tr w14:paraId="799F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269E6E55">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50</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7975C452">
            <w:pPr>
              <w:keepNext w:val="0"/>
              <w:keepLines w:val="0"/>
              <w:pageBreakBefore w:val="0"/>
              <w:kinsoku/>
              <w:wordWrap/>
              <w:overflowPunct/>
              <w:topLinePunct w:val="0"/>
              <w:bidi w:val="0"/>
              <w:spacing w:line="360" w:lineRule="exact"/>
              <w:ind w:left="0" w:leftChars="0" w:right="0" w:rightChars="0"/>
              <w:rPr>
                <w:rFonts w:hint="eastAsia" w:ascii="宋体" w:hAnsi="宋体" w:eastAsia="宋体" w:cs="宋体"/>
                <w:b w:val="0"/>
                <w:bCs w:val="0"/>
                <w:color w:val="auto"/>
                <w:highlight w:val="none"/>
              </w:rPr>
            </w:pPr>
            <w:r>
              <w:rPr>
                <w:rFonts w:hint="eastAsia" w:asciiTheme="majorEastAsia" w:hAnsiTheme="majorEastAsia" w:eastAsiaTheme="majorEastAsia" w:cstheme="majorEastAsia"/>
                <w:color w:val="auto"/>
                <w:kern w:val="0"/>
                <w:sz w:val="21"/>
                <w:szCs w:val="21"/>
                <w:highlight w:val="none"/>
                <w:lang w:val="en-US" w:eastAsia="zh-CN" w:bidi="zh-CN"/>
              </w:rPr>
              <w:t>接收质疑函的方式和联系方式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3F17CC4">
            <w:pPr>
              <w:keepNext w:val="0"/>
              <w:keepLines w:val="0"/>
              <w:pageBreakBefore w:val="0"/>
              <w:kinsoku/>
              <w:wordWrap/>
              <w:overflowPunct/>
              <w:topLinePunct w:val="0"/>
              <w:bidi w:val="0"/>
              <w:spacing w:line="360" w:lineRule="exact"/>
              <w:ind w:left="0" w:leftChars="0" w:right="0"/>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color w:val="auto"/>
                <w:kern w:val="0"/>
                <w:sz w:val="21"/>
                <w:szCs w:val="21"/>
                <w:highlight w:val="none"/>
                <w:lang w:val="en-US" w:eastAsia="zh-CN" w:bidi="zh-CN"/>
              </w:rPr>
              <w:t>质疑函应以书面形式送达（仅接收派人送达质疑函原件1种方式），质疑函的格式和内容应当符合《政府采购质疑和投诉办法》的要求。</w:t>
            </w:r>
          </w:p>
          <w:p w14:paraId="522AB2BD">
            <w:pPr>
              <w:keepNext w:val="0"/>
              <w:keepLines w:val="0"/>
              <w:pageBreakBefore w:val="0"/>
              <w:kinsoku/>
              <w:wordWrap/>
              <w:overflowPunct/>
              <w:topLinePunct w:val="0"/>
              <w:bidi w:val="0"/>
              <w:spacing w:line="360" w:lineRule="exact"/>
              <w:ind w:left="0" w:leftChars="0" w:right="0"/>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color w:val="auto"/>
                <w:kern w:val="0"/>
                <w:sz w:val="21"/>
                <w:szCs w:val="21"/>
                <w:highlight w:val="none"/>
                <w:lang w:val="en-US" w:eastAsia="zh-CN" w:bidi="zh-CN"/>
              </w:rPr>
              <w:t>联系部门：招标部</w:t>
            </w:r>
          </w:p>
          <w:p w14:paraId="7B000767">
            <w:pPr>
              <w:keepNext w:val="0"/>
              <w:keepLines w:val="0"/>
              <w:pageBreakBefore w:val="0"/>
              <w:kinsoku/>
              <w:wordWrap/>
              <w:overflowPunct/>
              <w:topLinePunct w:val="0"/>
              <w:bidi w:val="0"/>
              <w:spacing w:line="360" w:lineRule="exact"/>
              <w:ind w:left="0" w:leftChars="0" w:right="0"/>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color w:val="auto"/>
                <w:kern w:val="0"/>
                <w:sz w:val="21"/>
                <w:szCs w:val="21"/>
                <w:highlight w:val="none"/>
                <w:lang w:val="en-US" w:eastAsia="zh-CN" w:bidi="zh-CN"/>
              </w:rPr>
              <w:t>联系人：林佳美15104434231</w:t>
            </w:r>
          </w:p>
          <w:p w14:paraId="7AD57BAD">
            <w:pPr>
              <w:keepNext w:val="0"/>
              <w:keepLines w:val="0"/>
              <w:pageBreakBefore w:val="0"/>
              <w:kinsoku/>
              <w:wordWrap/>
              <w:overflowPunct/>
              <w:topLinePunct w:val="0"/>
              <w:bidi w:val="0"/>
              <w:spacing w:line="360" w:lineRule="exact"/>
              <w:ind w:left="0" w:leftChars="0" w:right="0" w:rightChars="0"/>
              <w:rPr>
                <w:rFonts w:hint="eastAsia" w:ascii="宋体" w:hAnsi="宋体" w:eastAsia="宋体" w:cs="宋体"/>
                <w:b w:val="0"/>
                <w:bCs w:val="0"/>
                <w:color w:val="auto"/>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bidi="zh-CN"/>
              </w:rPr>
              <w:t>注：投标人质疑不得超出招标文件、采购过程、采购结果的范围，投标人在法定质疑期内一次性提出针对同一采购环节的质疑。</w:t>
            </w:r>
          </w:p>
        </w:tc>
      </w:tr>
      <w:tr w14:paraId="1AA1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6AB8438">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51</w:t>
            </w:r>
          </w:p>
        </w:tc>
        <w:tc>
          <w:tcPr>
            <w:tcW w:w="29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F88B5">
            <w:pPr>
              <w:keepNext w:val="0"/>
              <w:keepLines w:val="0"/>
              <w:pageBreakBefore w:val="0"/>
              <w:kinsoku/>
              <w:wordWrap/>
              <w:overflowPunct/>
              <w:topLinePunct w:val="0"/>
              <w:bidi w:val="0"/>
              <w:spacing w:line="360" w:lineRule="exact"/>
              <w:ind w:left="0" w:leftChars="0" w:right="0" w:rightChars="0"/>
              <w:jc w:val="center"/>
              <w:rPr>
                <w:rFonts w:hint="eastAsia" w:ascii="宋体" w:hAnsi="宋体" w:eastAsia="宋体" w:cs="宋体"/>
                <w:b w:val="0"/>
                <w:bCs w:val="0"/>
                <w:color w:val="auto"/>
                <w:kern w:val="2"/>
                <w:sz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zh-CN"/>
              </w:rPr>
              <w:t>超过预算的投标</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811C46">
            <w:pPr>
              <w:keepNext w:val="0"/>
              <w:keepLines w:val="0"/>
              <w:pageBreakBefore w:val="0"/>
              <w:kinsoku/>
              <w:wordWrap/>
              <w:overflowPunct/>
              <w:topLinePunct w:val="0"/>
              <w:bidi w:val="0"/>
              <w:spacing w:line="360" w:lineRule="exact"/>
              <w:ind w:left="0" w:leftChars="0" w:right="0" w:rightChars="0"/>
              <w:rPr>
                <w:rFonts w:hint="eastAsia" w:ascii="宋体" w:hAnsi="宋体" w:eastAsia="宋体" w:cs="宋体"/>
                <w:b w:val="0"/>
                <w:bCs w:val="0"/>
                <w:color w:val="auto"/>
                <w:kern w:val="2"/>
                <w:sz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zh-CN"/>
              </w:rPr>
              <w:t>招标人不接受超过采购预算金额的投标。</w:t>
            </w:r>
          </w:p>
        </w:tc>
      </w:tr>
      <w:tr w14:paraId="1EED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4F0E19D">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52</w:t>
            </w:r>
          </w:p>
        </w:tc>
        <w:tc>
          <w:tcPr>
            <w:tcW w:w="29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764E06">
            <w:pPr>
              <w:keepNext w:val="0"/>
              <w:keepLines w:val="0"/>
              <w:pageBreakBefore w:val="0"/>
              <w:kinsoku/>
              <w:wordWrap/>
              <w:overflowPunct/>
              <w:topLinePunct w:val="0"/>
              <w:bidi w:val="0"/>
              <w:spacing w:line="360" w:lineRule="exact"/>
              <w:ind w:left="0" w:leftChars="0" w:right="0" w:rightChars="0"/>
              <w:jc w:val="center"/>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color w:val="auto"/>
                <w:kern w:val="0"/>
                <w:sz w:val="21"/>
                <w:szCs w:val="21"/>
                <w:highlight w:val="none"/>
                <w:lang w:val="en-US" w:eastAsia="zh-CN" w:bidi="zh-CN"/>
              </w:rPr>
              <w:t>相同品牌产品及核心产品</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22054">
            <w:pPr>
              <w:keepNext w:val="0"/>
              <w:keepLines w:val="0"/>
              <w:pageBreakBefore w:val="0"/>
              <w:kinsoku/>
              <w:wordWrap/>
              <w:overflowPunct/>
              <w:topLinePunct w:val="0"/>
              <w:bidi w:val="0"/>
              <w:spacing w:line="360" w:lineRule="exact"/>
              <w:ind w:left="0" w:leftChars="0" w:right="0"/>
              <w:rPr>
                <w:rFonts w:hint="eastAsia" w:asciiTheme="majorEastAsia" w:hAnsiTheme="majorEastAsia" w:eastAsiaTheme="majorEastAsia" w:cstheme="majorEastAsia"/>
                <w:b/>
                <w:bCs/>
                <w:color w:val="auto"/>
                <w:kern w:val="0"/>
                <w:sz w:val="21"/>
                <w:szCs w:val="21"/>
                <w:highlight w:val="none"/>
                <w:lang w:val="en-US" w:eastAsia="zh-CN" w:bidi="zh-CN"/>
              </w:rPr>
            </w:pPr>
            <w:r>
              <w:rPr>
                <w:rFonts w:hint="eastAsia" w:asciiTheme="majorEastAsia" w:hAnsiTheme="majorEastAsia" w:eastAsiaTheme="majorEastAsia" w:cstheme="majorEastAsia"/>
                <w:b/>
                <w:bCs/>
                <w:color w:val="auto"/>
                <w:kern w:val="0"/>
                <w:sz w:val="21"/>
                <w:szCs w:val="21"/>
                <w:highlight w:val="none"/>
                <w:lang w:val="en-US" w:eastAsia="zh-CN" w:bidi="zh-CN"/>
              </w:rPr>
              <w:t>一标段：提取检验试剂</w:t>
            </w:r>
          </w:p>
          <w:p w14:paraId="46EE33CD">
            <w:pPr>
              <w:keepNext w:val="0"/>
              <w:keepLines w:val="0"/>
              <w:pageBreakBefore w:val="0"/>
              <w:kinsoku/>
              <w:wordWrap/>
              <w:overflowPunct/>
              <w:topLinePunct w:val="0"/>
              <w:bidi w:val="0"/>
              <w:spacing w:line="360" w:lineRule="exact"/>
              <w:ind w:left="0" w:leftChars="0" w:right="0"/>
              <w:rPr>
                <w:rFonts w:hint="eastAsia" w:asciiTheme="majorEastAsia" w:hAnsiTheme="majorEastAsia" w:eastAsiaTheme="majorEastAsia" w:cstheme="majorEastAsia"/>
                <w:b/>
                <w:bCs/>
                <w:color w:val="auto"/>
                <w:kern w:val="0"/>
                <w:sz w:val="21"/>
                <w:szCs w:val="21"/>
                <w:highlight w:val="none"/>
                <w:lang w:val="en-US" w:eastAsia="zh-CN" w:bidi="zh-CN"/>
              </w:rPr>
            </w:pPr>
            <w:r>
              <w:rPr>
                <w:rFonts w:hint="eastAsia" w:asciiTheme="majorEastAsia" w:hAnsiTheme="majorEastAsia" w:eastAsiaTheme="majorEastAsia" w:cstheme="majorEastAsia"/>
                <w:b/>
                <w:bCs/>
                <w:color w:val="auto"/>
                <w:kern w:val="0"/>
                <w:sz w:val="21"/>
                <w:szCs w:val="21"/>
                <w:highlight w:val="none"/>
                <w:lang w:val="en-US" w:eastAsia="zh-CN" w:bidi="zh-CN"/>
              </w:rPr>
              <w:t>采用</w: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begin"/>
            </w:r>
            <w:r>
              <w:rPr>
                <w:rFonts w:hint="eastAsia" w:asciiTheme="majorEastAsia" w:hAnsiTheme="majorEastAsia" w:eastAsiaTheme="majorEastAsia" w:cstheme="majorEastAsia"/>
                <w:b/>
                <w:bCs/>
                <w:color w:val="auto"/>
                <w:kern w:val="0"/>
                <w:sz w:val="21"/>
                <w:szCs w:val="21"/>
                <w:highlight w:val="none"/>
                <w:lang w:val="en-US" w:eastAsia="zh-CN" w:bidi="zh-CN"/>
              </w:rPr>
              <w:instrText xml:space="preserve"> HYPERLINK "https://baike.baidu.com/item/%E6%9C%80%E4%BD%8E%E8%AF%84%E6%A0%87%E4%BB%B7%E6%B3%95/4119587?fromModule=lemma_inlink" \t "https://baike.baidu.com/item/%E6%94%BF%E5%BA%9C%E9%87%87%E8%B4%AD%E8%B4%A7%E7%89%A9%E5%92%8C%E6%9C%8D%E5%8A%A1%E6%8B%9B%E6%A0%87%E6%8A%95%E6%A0%87%E7%AE%A1%E7%90%86%E5%8A%9E%E6%B3%95/_blank" </w:instrTex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separate"/>
            </w:r>
            <w:r>
              <w:rPr>
                <w:rFonts w:hint="eastAsia" w:asciiTheme="majorEastAsia" w:hAnsiTheme="majorEastAsia" w:eastAsiaTheme="majorEastAsia" w:cstheme="majorEastAsia"/>
                <w:b/>
                <w:bCs/>
                <w:color w:val="auto"/>
                <w:kern w:val="0"/>
                <w:sz w:val="21"/>
                <w:szCs w:val="21"/>
                <w:highlight w:val="none"/>
                <w:lang w:val="en-US" w:eastAsia="zh-CN" w:bidi="zh-CN"/>
              </w:rPr>
              <w:t>最低评标价法</w: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end"/>
            </w:r>
            <w:r>
              <w:rPr>
                <w:rFonts w:hint="eastAsia" w:asciiTheme="majorEastAsia" w:hAnsiTheme="majorEastAsia" w:eastAsiaTheme="majorEastAsia" w:cstheme="majorEastAsia"/>
                <w:b/>
                <w:bCs/>
                <w:color w:val="auto"/>
                <w:kern w:val="0"/>
                <w:sz w:val="21"/>
                <w:szCs w:val="21"/>
                <w:highlight w:val="none"/>
                <w:lang w:val="en-US" w:eastAsia="zh-CN" w:bidi="zh-CN"/>
              </w:rPr>
              <w:t>的采购项目，提供相同品牌产品的不同投标人参加同一合同项下投标的，以其中通过</w: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begin"/>
            </w:r>
            <w:r>
              <w:rPr>
                <w:rFonts w:hint="eastAsia" w:asciiTheme="majorEastAsia" w:hAnsiTheme="majorEastAsia" w:eastAsiaTheme="majorEastAsia" w:cstheme="majorEastAsia"/>
                <w:b/>
                <w:bCs/>
                <w:color w:val="auto"/>
                <w:kern w:val="0"/>
                <w:sz w:val="21"/>
                <w:szCs w:val="21"/>
                <w:highlight w:val="none"/>
                <w:lang w:val="en-US" w:eastAsia="zh-CN" w:bidi="zh-CN"/>
              </w:rPr>
              <w:instrText xml:space="preserve"> HYPERLINK "https://baike.baidu.com/item/%E8%B5%84%E6%A0%BC%E5%AE%A1%E6%9F%A5/12673015?fromModule=lemma_inlink" \t "https://baike.baidu.com/item/%E6%94%BF%E5%BA%9C%E9%87%87%E8%B4%AD%E8%B4%A7%E7%89%A9%E5%92%8C%E6%9C%8D%E5%8A%A1%E6%8B%9B%E6%A0%87%E6%8A%95%E6%A0%87%E7%AE%A1%E7%90%86%E5%8A%9E%E6%B3%95/_blank" </w:instrTex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separate"/>
            </w:r>
            <w:r>
              <w:rPr>
                <w:rFonts w:hint="eastAsia" w:asciiTheme="majorEastAsia" w:hAnsiTheme="majorEastAsia" w:eastAsiaTheme="majorEastAsia" w:cstheme="majorEastAsia"/>
                <w:b/>
                <w:bCs/>
                <w:color w:val="auto"/>
                <w:kern w:val="0"/>
                <w:sz w:val="21"/>
                <w:szCs w:val="21"/>
                <w:highlight w:val="none"/>
                <w:lang w:val="en-US" w:eastAsia="zh-CN" w:bidi="zh-CN"/>
              </w:rPr>
              <w:t>资格审查</w: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end"/>
            </w:r>
            <w:r>
              <w:rPr>
                <w:rFonts w:hint="eastAsia" w:asciiTheme="majorEastAsia" w:hAnsiTheme="majorEastAsia" w:eastAsiaTheme="majorEastAsia" w:cstheme="majorEastAsia"/>
                <w:b/>
                <w:bCs/>
                <w:color w:val="auto"/>
                <w:kern w:val="0"/>
                <w:sz w:val="21"/>
                <w:szCs w:val="21"/>
                <w:highlight w:val="none"/>
                <w:lang w:val="en-US" w:eastAsia="zh-CN" w:bidi="zh-CN"/>
              </w:rPr>
              <w:t>、</w: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begin"/>
            </w:r>
            <w:r>
              <w:rPr>
                <w:rFonts w:hint="eastAsia" w:asciiTheme="majorEastAsia" w:hAnsiTheme="majorEastAsia" w:eastAsiaTheme="majorEastAsia" w:cstheme="majorEastAsia"/>
                <w:b/>
                <w:bCs/>
                <w:color w:val="auto"/>
                <w:kern w:val="0"/>
                <w:sz w:val="21"/>
                <w:szCs w:val="21"/>
                <w:highlight w:val="none"/>
                <w:lang w:val="en-US" w:eastAsia="zh-CN" w:bidi="zh-CN"/>
              </w:rPr>
              <w:instrText xml:space="preserve"> HYPERLINK "https://baike.baidu.com/item/%E7%AC%A6%E5%90%88%E6%80%A7/18451285?fromModule=lemma_inlink" \t "https://baike.baidu.com/item/%E6%94%BF%E5%BA%9C%E9%87%87%E8%B4%AD%E8%B4%A7%E7%89%A9%E5%92%8C%E6%9C%8D%E5%8A%A1%E6%8B%9B%E6%A0%87%E6%8A%95%E6%A0%87%E7%AE%A1%E7%90%86%E5%8A%9E%E6%B3%95/_blank" </w:instrTex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separate"/>
            </w:r>
            <w:r>
              <w:rPr>
                <w:rFonts w:hint="eastAsia" w:asciiTheme="majorEastAsia" w:hAnsiTheme="majorEastAsia" w:eastAsiaTheme="majorEastAsia" w:cstheme="majorEastAsia"/>
                <w:b/>
                <w:bCs/>
                <w:color w:val="auto"/>
                <w:kern w:val="0"/>
                <w:sz w:val="21"/>
                <w:szCs w:val="21"/>
                <w:highlight w:val="none"/>
                <w:lang w:val="en-US" w:eastAsia="zh-CN" w:bidi="zh-CN"/>
              </w:rPr>
              <w:t>符合性</w: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end"/>
            </w:r>
            <w:r>
              <w:rPr>
                <w:rFonts w:hint="eastAsia" w:asciiTheme="majorEastAsia" w:hAnsiTheme="majorEastAsia" w:eastAsiaTheme="majorEastAsia" w:cstheme="majorEastAsia"/>
                <w:b/>
                <w:bCs/>
                <w:color w:val="auto"/>
                <w:kern w:val="0"/>
                <w:sz w:val="21"/>
                <w:szCs w:val="21"/>
                <w:highlight w:val="none"/>
                <w:lang w:val="en-US" w:eastAsia="zh-CN" w:bidi="zh-CN"/>
              </w:rPr>
              <w:t>审查且报价最低的参加评标；报价相同的，由采购人或者采购人委托</w: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begin"/>
            </w:r>
            <w:r>
              <w:rPr>
                <w:rFonts w:hint="eastAsia" w:asciiTheme="majorEastAsia" w:hAnsiTheme="majorEastAsia" w:eastAsiaTheme="majorEastAsia" w:cstheme="majorEastAsia"/>
                <w:b/>
                <w:bCs/>
                <w:color w:val="auto"/>
                <w:kern w:val="0"/>
                <w:sz w:val="21"/>
                <w:szCs w:val="21"/>
                <w:highlight w:val="none"/>
                <w:lang w:val="en-US" w:eastAsia="zh-CN" w:bidi="zh-CN"/>
              </w:rPr>
              <w:instrText xml:space="preserve"> HYPERLINK "https://baike.baidu.com/item/%E8%AF%84%E6%A0%87%E5%A7%94%E5%91%98%E4%BC%9A/8746026?fromModule=lemma_inlink" \t "https://baike.baidu.com/item/%E6%94%BF%E5%BA%9C%E9%87%87%E8%B4%AD%E8%B4%A7%E7%89%A9%E5%92%8C%E6%9C%8D%E5%8A%A1%E6%8B%9B%E6%A0%87%E6%8A%95%E6%A0%87%E7%AE%A1%E7%90%86%E5%8A%9E%E6%B3%95/_blank" </w:instrTex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separate"/>
            </w:r>
            <w:r>
              <w:rPr>
                <w:rFonts w:hint="eastAsia" w:asciiTheme="majorEastAsia" w:hAnsiTheme="majorEastAsia" w:eastAsiaTheme="majorEastAsia" w:cstheme="majorEastAsia"/>
                <w:b/>
                <w:bCs/>
                <w:color w:val="auto"/>
                <w:kern w:val="0"/>
                <w:sz w:val="21"/>
                <w:szCs w:val="21"/>
                <w:highlight w:val="none"/>
                <w:lang w:val="en-US" w:eastAsia="zh-CN" w:bidi="zh-CN"/>
              </w:rPr>
              <w:t>评标委员会</w:t>
            </w:r>
            <w:r>
              <w:rPr>
                <w:rFonts w:hint="eastAsia" w:asciiTheme="majorEastAsia" w:hAnsiTheme="majorEastAsia" w:eastAsiaTheme="majorEastAsia" w:cstheme="majorEastAsia"/>
                <w:b/>
                <w:bCs/>
                <w:color w:val="auto"/>
                <w:kern w:val="0"/>
                <w:sz w:val="21"/>
                <w:szCs w:val="21"/>
                <w:highlight w:val="none"/>
                <w:lang w:val="en-US" w:eastAsia="zh-CN" w:bidi="zh-CN"/>
              </w:rPr>
              <w:fldChar w:fldCharType="end"/>
            </w:r>
            <w:r>
              <w:rPr>
                <w:rFonts w:hint="eastAsia" w:asciiTheme="majorEastAsia" w:hAnsiTheme="majorEastAsia" w:eastAsiaTheme="majorEastAsia" w:cstheme="majorEastAsia"/>
                <w:b/>
                <w:bCs/>
                <w:color w:val="auto"/>
                <w:kern w:val="0"/>
                <w:sz w:val="21"/>
                <w:szCs w:val="21"/>
                <w:highlight w:val="none"/>
                <w:lang w:val="en-US" w:eastAsia="zh-CN" w:bidi="zh-CN"/>
              </w:rPr>
              <w:t>按照招标文件规定的方式确定一个参加评标的投标人。</w:t>
            </w:r>
          </w:p>
          <w:p w14:paraId="16893629">
            <w:pPr>
              <w:keepNext w:val="0"/>
              <w:keepLines w:val="0"/>
              <w:pageBreakBefore w:val="0"/>
              <w:kinsoku/>
              <w:wordWrap/>
              <w:overflowPunct/>
              <w:topLinePunct w:val="0"/>
              <w:bidi w:val="0"/>
              <w:spacing w:line="360" w:lineRule="exact"/>
              <w:ind w:left="0" w:leftChars="0" w:right="0" w:rightChars="0"/>
              <w:rPr>
                <w:rFonts w:hint="eastAsia" w:asciiTheme="majorEastAsia" w:hAnsiTheme="majorEastAsia" w:eastAsiaTheme="majorEastAsia" w:cstheme="majorEastAsia"/>
                <w:b/>
                <w:bCs/>
                <w:color w:val="auto"/>
                <w:kern w:val="0"/>
                <w:sz w:val="21"/>
                <w:szCs w:val="21"/>
                <w:highlight w:val="none"/>
                <w:lang w:val="en-US" w:eastAsia="zh-CN" w:bidi="zh-CN"/>
              </w:rPr>
            </w:pPr>
            <w:r>
              <w:rPr>
                <w:rFonts w:hint="eastAsia" w:asciiTheme="majorEastAsia" w:hAnsiTheme="majorEastAsia" w:eastAsiaTheme="majorEastAsia" w:cstheme="majorEastAsia"/>
                <w:b/>
                <w:bCs/>
                <w:color w:val="auto"/>
                <w:kern w:val="0"/>
                <w:sz w:val="21"/>
                <w:szCs w:val="21"/>
                <w:highlight w:val="none"/>
                <w:lang w:val="en-US" w:eastAsia="zh-CN" w:bidi="zh-CN"/>
              </w:rPr>
              <w:t>非单一产品采购项目，采购人应合理确定核心产品并在招标文件中载明。多家投标人提供的核心产品品牌相同的，按前款规定处理。</w:t>
            </w:r>
          </w:p>
        </w:tc>
      </w:tr>
      <w:tr w14:paraId="6D1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4A8D86D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53</w:t>
            </w:r>
          </w:p>
        </w:tc>
        <w:tc>
          <w:tcPr>
            <w:tcW w:w="29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C18442">
            <w:pPr>
              <w:keepNext w:val="0"/>
              <w:keepLines w:val="0"/>
              <w:pageBreakBefore w:val="0"/>
              <w:kinsoku/>
              <w:wordWrap/>
              <w:overflowPunct/>
              <w:topLinePunct w:val="0"/>
              <w:bidi w:val="0"/>
              <w:spacing w:line="360" w:lineRule="exact"/>
              <w:ind w:left="0" w:leftChars="0" w:right="0" w:rightChars="0"/>
              <w:jc w:val="center"/>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color w:val="auto"/>
                <w:kern w:val="0"/>
                <w:sz w:val="21"/>
                <w:szCs w:val="21"/>
                <w:highlight w:val="none"/>
                <w:lang w:val="en-US" w:eastAsia="zh-CN" w:bidi="zh-CN"/>
              </w:rPr>
              <w:t>验收</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F501B9">
            <w:pPr>
              <w:keepNext w:val="0"/>
              <w:keepLines w:val="0"/>
              <w:pageBreakBefore w:val="0"/>
              <w:kinsoku/>
              <w:wordWrap/>
              <w:overflowPunct/>
              <w:topLinePunct w:val="0"/>
              <w:bidi w:val="0"/>
              <w:spacing w:line="360" w:lineRule="exact"/>
              <w:ind w:left="0" w:leftChars="0" w:right="0"/>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color w:val="auto"/>
                <w:kern w:val="0"/>
                <w:sz w:val="21"/>
                <w:szCs w:val="21"/>
                <w:highlight w:val="none"/>
                <w:lang w:val="en-US" w:eastAsia="zh-CN" w:bidi="zh-CN"/>
              </w:rPr>
              <w:t>验收时间：货到安装、调试后进行验收。</w:t>
            </w:r>
          </w:p>
          <w:p w14:paraId="1E1C1770">
            <w:pPr>
              <w:keepNext w:val="0"/>
              <w:keepLines w:val="0"/>
              <w:pageBreakBefore w:val="0"/>
              <w:kinsoku/>
              <w:wordWrap/>
              <w:overflowPunct/>
              <w:topLinePunct w:val="0"/>
              <w:bidi w:val="0"/>
              <w:spacing w:line="360" w:lineRule="exact"/>
              <w:ind w:left="0" w:leftChars="0" w:right="0"/>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color w:val="auto"/>
                <w:kern w:val="0"/>
                <w:sz w:val="21"/>
                <w:szCs w:val="21"/>
                <w:highlight w:val="none"/>
                <w:lang w:val="en-US" w:eastAsia="zh-CN" w:bidi="zh-CN"/>
              </w:rPr>
              <w:t>验收方式：联合检查，实地验收。</w:t>
            </w:r>
          </w:p>
          <w:p w14:paraId="6C23B007">
            <w:pPr>
              <w:keepNext w:val="0"/>
              <w:keepLines w:val="0"/>
              <w:pageBreakBefore w:val="0"/>
              <w:kinsoku/>
              <w:wordWrap/>
              <w:overflowPunct/>
              <w:topLinePunct w:val="0"/>
              <w:bidi w:val="0"/>
              <w:spacing w:line="360" w:lineRule="exact"/>
              <w:ind w:left="0" w:leftChars="0" w:right="0" w:rightChars="0"/>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color w:val="auto"/>
                <w:kern w:val="0"/>
                <w:sz w:val="21"/>
                <w:szCs w:val="21"/>
                <w:highlight w:val="none"/>
                <w:lang w:val="en-US" w:eastAsia="zh-CN" w:bidi="zh-CN"/>
              </w:rPr>
              <w:t>验收程序：成立3人以上验收小组，按照合同约定逐项验收。</w:t>
            </w:r>
          </w:p>
        </w:tc>
      </w:tr>
      <w:tr w14:paraId="6EA7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CE9B07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54</w:t>
            </w:r>
          </w:p>
        </w:tc>
        <w:tc>
          <w:tcPr>
            <w:tcW w:w="29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B98AD">
            <w:pPr>
              <w:keepNext w:val="0"/>
              <w:keepLines w:val="0"/>
              <w:pageBreakBefore w:val="0"/>
              <w:kinsoku/>
              <w:wordWrap/>
              <w:overflowPunct/>
              <w:topLinePunct w:val="0"/>
              <w:bidi w:val="0"/>
              <w:spacing w:line="360" w:lineRule="exact"/>
              <w:ind w:left="0" w:leftChars="0" w:right="0" w:rightChars="0"/>
              <w:jc w:val="center"/>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color w:val="auto"/>
                <w:kern w:val="0"/>
                <w:sz w:val="21"/>
                <w:szCs w:val="21"/>
                <w:highlight w:val="none"/>
                <w:lang w:val="en-US" w:eastAsia="zh-CN" w:bidi="zh-CN"/>
              </w:rPr>
              <w:t>其他</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5B39F2">
            <w:pPr>
              <w:keepNext w:val="0"/>
              <w:keepLines w:val="0"/>
              <w:pageBreakBefore w:val="0"/>
              <w:kinsoku/>
              <w:wordWrap/>
              <w:overflowPunct/>
              <w:topLinePunct w:val="0"/>
              <w:bidi w:val="0"/>
              <w:spacing w:line="360" w:lineRule="exact"/>
              <w:ind w:left="0" w:leftChars="0" w:right="0" w:rightChars="0"/>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b/>
                <w:bCs/>
                <w:color w:val="000000"/>
                <w:sz w:val="21"/>
                <w:szCs w:val="21"/>
                <w:lang w:val="zh-CN"/>
              </w:rPr>
              <w:t>投标文件对招标文件各种设备所要求的主要功能配置及其技术指标必须全部满足，不允许有缺项或者负偏离，如果不满足将导致废标。</w:t>
            </w:r>
          </w:p>
        </w:tc>
      </w:tr>
      <w:tr w14:paraId="2DE6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Pr>
          <w:p w14:paraId="4DAAFC09">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55</w:t>
            </w:r>
          </w:p>
        </w:tc>
        <w:tc>
          <w:tcPr>
            <w:tcW w:w="2969" w:type="dxa"/>
            <w:shd w:val="clear" w:color="auto" w:fill="auto"/>
            <w:vAlign w:val="center"/>
          </w:tcPr>
          <w:p w14:paraId="07B515EA">
            <w:pPr>
              <w:keepNext w:val="0"/>
              <w:keepLines w:val="0"/>
              <w:pageBreakBefore w:val="0"/>
              <w:kinsoku/>
              <w:wordWrap/>
              <w:overflowPunct/>
              <w:topLinePunct w:val="0"/>
              <w:bidi w:val="0"/>
              <w:snapToGrid w:val="0"/>
              <w:spacing w:line="360" w:lineRule="exact"/>
              <w:ind w:left="0" w:leftChars="0" w:right="0" w:rightChars="0"/>
              <w:jc w:val="center"/>
              <w:rPr>
                <w:rFonts w:hint="eastAsia" w:asciiTheme="majorEastAsia" w:hAnsiTheme="majorEastAsia" w:eastAsiaTheme="majorEastAsia" w:cstheme="majorEastAsia"/>
                <w:color w:val="auto"/>
                <w:kern w:val="0"/>
                <w:sz w:val="21"/>
                <w:szCs w:val="21"/>
                <w:highlight w:val="none"/>
                <w:lang w:val="en-US" w:eastAsia="zh-CN" w:bidi="zh-CN"/>
              </w:rPr>
            </w:pPr>
            <w:r>
              <w:rPr>
                <w:rFonts w:hint="eastAsia" w:asciiTheme="majorEastAsia" w:hAnsiTheme="majorEastAsia" w:eastAsiaTheme="majorEastAsia" w:cstheme="majorEastAsia"/>
                <w:b w:val="0"/>
                <w:bCs w:val="0"/>
                <w:sz w:val="21"/>
                <w:szCs w:val="21"/>
                <w:highlight w:val="none"/>
              </w:rPr>
              <w:t>低于成本价不正当竞争预防措施</w:t>
            </w:r>
          </w:p>
        </w:tc>
        <w:tc>
          <w:tcPr>
            <w:tcW w:w="6777" w:type="dxa"/>
            <w:shd w:val="clear" w:color="auto" w:fill="auto"/>
            <w:vAlign w:val="center"/>
          </w:tcPr>
          <w:p w14:paraId="19E18B34">
            <w:pPr>
              <w:keepNext w:val="0"/>
              <w:keepLines w:val="0"/>
              <w:pageBreakBefore w:val="0"/>
              <w:kinsoku/>
              <w:wordWrap/>
              <w:overflowPunct/>
              <w:topLinePunct w:val="0"/>
              <w:bidi w:val="0"/>
              <w:snapToGrid w:val="0"/>
              <w:spacing w:line="360" w:lineRule="exact"/>
              <w:ind w:left="0" w:leftChars="0" w:right="0"/>
              <w:jc w:val="left"/>
              <w:rPr>
                <w:rFonts w:hint="eastAsia" w:asciiTheme="majorEastAsia" w:hAnsiTheme="majorEastAsia" w:eastAsiaTheme="majorEastAsia" w:cstheme="majorEastAsia"/>
                <w:b w:val="0"/>
                <w:bCs w:val="0"/>
                <w:sz w:val="21"/>
                <w:szCs w:val="21"/>
                <w:highlight w:val="none"/>
              </w:rPr>
            </w:pPr>
            <w:r>
              <w:rPr>
                <w:rFonts w:hint="eastAsia" w:asciiTheme="majorEastAsia" w:hAnsiTheme="majorEastAsia" w:eastAsiaTheme="majorEastAsia" w:cstheme="majorEastAsia"/>
                <w:b w:val="0"/>
                <w:bCs w:val="0"/>
                <w:sz w:val="21"/>
                <w:szCs w:val="21"/>
                <w:highlight w:val="none"/>
              </w:rPr>
              <w:t>1.在评审过程中，供应商报价过低，有可能影响服务质量或者不能诚信履约的，评审小组应当要求其在合理的时间内提供书面说明，并提交相关证明材料，供应商不能证明其报价合理性的，评审小组应当将其作为无效处理。供应商的书面说明材料应当按照国家财务会计制度的规定要求，逐项就供应商提供服务的主营业务成本、税金及附加、管理费用、财务费用等成本构成事项详细陈述）。</w:t>
            </w:r>
          </w:p>
          <w:p w14:paraId="4E5CD223">
            <w:pPr>
              <w:keepNext w:val="0"/>
              <w:keepLines w:val="0"/>
              <w:pageBreakBefore w:val="0"/>
              <w:kinsoku/>
              <w:wordWrap/>
              <w:overflowPunct/>
              <w:topLinePunct w:val="0"/>
              <w:bidi w:val="0"/>
              <w:snapToGrid w:val="0"/>
              <w:spacing w:line="360" w:lineRule="exact"/>
              <w:ind w:left="0" w:leftChars="0" w:right="0"/>
              <w:jc w:val="left"/>
              <w:rPr>
                <w:rFonts w:hint="eastAsia" w:asciiTheme="majorEastAsia" w:hAnsiTheme="majorEastAsia" w:eastAsiaTheme="majorEastAsia" w:cstheme="majorEastAsia"/>
                <w:b w:val="0"/>
                <w:bCs w:val="0"/>
                <w:sz w:val="21"/>
                <w:szCs w:val="21"/>
                <w:highlight w:val="none"/>
              </w:rPr>
            </w:pPr>
            <w:r>
              <w:rPr>
                <w:rFonts w:hint="eastAsia" w:asciiTheme="majorEastAsia" w:hAnsiTheme="majorEastAsia" w:eastAsiaTheme="majorEastAsia" w:cstheme="majorEastAsia"/>
                <w:b w:val="0"/>
                <w:bCs w:val="0"/>
                <w:sz w:val="21"/>
                <w:szCs w:val="21"/>
                <w:highlight w:val="none"/>
              </w:rPr>
              <w:t>2.供应商书面说明应当签字确认或者加盖公章，否则无效。书面说明的签字确认，由其法定代表人或授权代表完成。</w:t>
            </w:r>
          </w:p>
          <w:p w14:paraId="65BFD53C">
            <w:pPr>
              <w:keepNext w:val="0"/>
              <w:keepLines w:val="0"/>
              <w:pageBreakBefore w:val="0"/>
              <w:kinsoku/>
              <w:wordWrap/>
              <w:overflowPunct/>
              <w:topLinePunct w:val="0"/>
              <w:bidi w:val="0"/>
              <w:snapToGrid w:val="0"/>
              <w:spacing w:line="360" w:lineRule="exact"/>
              <w:ind w:left="0" w:leftChars="0" w:right="0" w:rightChars="0"/>
              <w:jc w:val="left"/>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val="0"/>
                <w:bCs w:val="0"/>
                <w:sz w:val="21"/>
                <w:szCs w:val="21"/>
                <w:highlight w:val="none"/>
              </w:rPr>
              <w:t>3.供应商提供书面说明后，评审小组应当结合招标项目服务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tc>
      </w:tr>
      <w:tr w14:paraId="3ADE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Pr>
          <w:p w14:paraId="46178B87">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56</w:t>
            </w:r>
          </w:p>
        </w:tc>
        <w:tc>
          <w:tcPr>
            <w:tcW w:w="2969" w:type="dxa"/>
            <w:shd w:val="clear" w:color="auto" w:fill="auto"/>
            <w:vAlign w:val="center"/>
          </w:tcPr>
          <w:p w14:paraId="055536C7">
            <w:pPr>
              <w:keepNext w:val="0"/>
              <w:keepLines w:val="0"/>
              <w:pageBreakBefore w:val="0"/>
              <w:widowControl w:val="0"/>
              <w:shd w:val="clear"/>
              <w:kinsoku/>
              <w:wordWrap/>
              <w:overflowPunct/>
              <w:topLinePunct w:val="0"/>
              <w:bidi w:val="0"/>
              <w:adjustRightInd w:val="0"/>
              <w:snapToGrid w:val="0"/>
              <w:spacing w:line="340" w:lineRule="exact"/>
              <w:ind w:right="0" w:rightChars="0"/>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zh-CN"/>
              </w:rPr>
              <w:t>政府采购进口产品的规定</w:t>
            </w:r>
          </w:p>
        </w:tc>
        <w:tc>
          <w:tcPr>
            <w:tcW w:w="6777" w:type="dxa"/>
            <w:shd w:val="clear" w:color="auto" w:fill="auto"/>
            <w:vAlign w:val="center"/>
          </w:tcPr>
          <w:p w14:paraId="71F045FD">
            <w:pPr>
              <w:keepNext w:val="0"/>
              <w:keepLines w:val="0"/>
              <w:pageBreakBefore w:val="0"/>
              <w:widowControl w:val="0"/>
              <w:shd w:val="clear"/>
              <w:kinsoku/>
              <w:wordWrap/>
              <w:overflowPunct/>
              <w:topLinePunct w:val="0"/>
              <w:bidi w:val="0"/>
              <w:adjustRightInd w:val="0"/>
              <w:snapToGrid w:val="0"/>
              <w:spacing w:line="340" w:lineRule="exact"/>
              <w:ind w:right="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en-US" w:eastAsia="zh-CN"/>
              </w:rPr>
              <w:t>不接受</w:t>
            </w:r>
            <w:r>
              <w:rPr>
                <w:rFonts w:hint="eastAsia" w:ascii="宋体" w:hAnsi="宋体" w:eastAsia="宋体" w:cs="宋体"/>
                <w:kern w:val="0"/>
                <w:szCs w:val="21"/>
                <w:highlight w:val="none"/>
                <w:lang w:val="en-US" w:eastAsia="zh-CN"/>
              </w:rPr>
              <w:br w:type="textWrapping"/>
            </w:r>
            <w:r>
              <w:rPr>
                <w:rFonts w:hint="eastAsia" w:ascii="宋体" w:hAnsi="宋体" w:eastAsia="宋体" w:cs="宋体"/>
                <w:kern w:val="0"/>
                <w:szCs w:val="21"/>
                <w:highlight w:val="none"/>
                <w:lang w:val="zh-CN"/>
              </w:rPr>
              <w:t>按照财政部《政府采购进口产品管理办法》第一章第四条关于“政府采购应当采购本国产品，确需采购进口产品（指通过中国海关报关验放进入中国境内且产自关境外的产品）的，实行审核管理”的规定，招标文件中凡未明确标明采购进口产品的，均为采购本国产品，投标人必须投标本国产品，投标进口产品的为无效投标。</w:t>
            </w:r>
          </w:p>
          <w:p w14:paraId="1B7A0E10">
            <w:pPr>
              <w:keepNext w:val="0"/>
              <w:keepLines w:val="0"/>
              <w:pageBreakBefore w:val="0"/>
              <w:widowControl w:val="0"/>
              <w:shd w:val="clear"/>
              <w:kinsoku/>
              <w:wordWrap/>
              <w:overflowPunct/>
              <w:topLinePunct w:val="0"/>
              <w:bidi w:val="0"/>
              <w:adjustRightInd w:val="0"/>
              <w:snapToGrid w:val="0"/>
              <w:spacing w:line="340" w:lineRule="exact"/>
              <w:ind w:right="0" w:righ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kern w:val="0"/>
                <w:szCs w:val="21"/>
                <w:highlight w:val="none"/>
                <w:lang w:val="zh-CN"/>
              </w:rPr>
              <w:t>在中国境内生产或组装的外国品牌产品须标明该产品在中国国内制造厂商名称。否则，按进口产品对待。</w:t>
            </w:r>
          </w:p>
        </w:tc>
      </w:tr>
      <w:tr w14:paraId="3194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Pr>
          <w:p w14:paraId="414C40EA">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57</w:t>
            </w:r>
          </w:p>
        </w:tc>
        <w:tc>
          <w:tcPr>
            <w:tcW w:w="2969" w:type="dxa"/>
            <w:shd w:val="clear" w:color="auto" w:fill="auto"/>
            <w:vAlign w:val="center"/>
          </w:tcPr>
          <w:p w14:paraId="033A8F49">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center"/>
              <w:textAlignment w:val="auto"/>
              <w:rPr>
                <w:rFonts w:hint="eastAsia" w:asciiTheme="majorEastAsia" w:hAnsiTheme="majorEastAsia" w:eastAsiaTheme="majorEastAsia" w:cstheme="majorEastAsia"/>
                <w:bCs/>
                <w:color w:val="auto"/>
                <w:kern w:val="0"/>
                <w:sz w:val="21"/>
                <w:szCs w:val="21"/>
                <w:highlight w:val="none"/>
                <w:lang w:val="en-US" w:eastAsia="zh-CN" w:bidi="ar"/>
              </w:rPr>
            </w:pPr>
            <w:r>
              <w:rPr>
                <w:rFonts w:hint="eastAsia" w:ascii="宋体" w:hAnsi="宋体" w:eastAsia="宋体" w:cs="宋体"/>
                <w:b w:val="0"/>
                <w:bCs w:val="0"/>
                <w:sz w:val="21"/>
                <w:szCs w:val="21"/>
                <w:highlight w:val="none"/>
                <w:lang w:eastAsia="zh-CN"/>
              </w:rPr>
              <w:t>价格分加分</w:t>
            </w:r>
            <w:r>
              <w:rPr>
                <w:rFonts w:hint="eastAsia" w:ascii="宋体" w:hAnsi="宋体" w:cs="宋体"/>
                <w:b w:val="0"/>
                <w:bCs w:val="0"/>
                <w:sz w:val="21"/>
                <w:szCs w:val="21"/>
                <w:highlight w:val="none"/>
                <w:lang w:val="en-US" w:eastAsia="zh-CN"/>
              </w:rPr>
              <w:t>项</w:t>
            </w:r>
          </w:p>
        </w:tc>
        <w:tc>
          <w:tcPr>
            <w:tcW w:w="6777" w:type="dxa"/>
            <w:shd w:val="clear" w:color="auto" w:fill="auto"/>
            <w:vAlign w:val="top"/>
          </w:tcPr>
          <w:p w14:paraId="73FABF6A">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Theme="majorEastAsia" w:hAnsiTheme="majorEastAsia" w:eastAsiaTheme="majorEastAsia" w:cstheme="majorEastAsia"/>
                <w:bCs/>
                <w:color w:val="auto"/>
                <w:kern w:val="0"/>
                <w:sz w:val="21"/>
                <w:szCs w:val="21"/>
                <w:highlight w:val="none"/>
                <w:lang w:val="en-US" w:eastAsia="zh-CN" w:bidi="ar"/>
              </w:rPr>
            </w:pPr>
            <w:r>
              <w:rPr>
                <w:rFonts w:hint="eastAsia" w:asciiTheme="majorEastAsia" w:hAnsiTheme="majorEastAsia" w:eastAsiaTheme="majorEastAsia" w:cstheme="majorEastAsia"/>
                <w:bCs/>
                <w:color w:val="auto"/>
                <w:kern w:val="0"/>
                <w:sz w:val="21"/>
                <w:szCs w:val="21"/>
                <w:highlight w:val="none"/>
                <w:lang w:val="en-US" w:eastAsia="zh-CN" w:bidi="ar"/>
              </w:rPr>
              <w:t>（1）对于列入财政部、国家环保总局发布的《环境标志产品政府采购品目清单》的产品，对其投标价格给予3%的价格扣除，并按照扣除后的价格参加排序。采购项目或者分包中既包含环境标志产品也包含非环境标志产品的，只对列入《环境标志产品政府采购品目清单》的产品按其在总报价中所占的比例给予价格扣除。</w:t>
            </w:r>
          </w:p>
          <w:p w14:paraId="55782187">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Theme="majorEastAsia" w:hAnsiTheme="majorEastAsia" w:eastAsiaTheme="majorEastAsia" w:cstheme="majorEastAsia"/>
                <w:bCs/>
                <w:color w:val="auto"/>
                <w:kern w:val="0"/>
                <w:sz w:val="21"/>
                <w:szCs w:val="21"/>
                <w:highlight w:val="none"/>
                <w:lang w:val="en-US" w:eastAsia="zh-CN" w:bidi="ar"/>
              </w:rPr>
            </w:pPr>
            <w:r>
              <w:rPr>
                <w:rFonts w:hint="eastAsia" w:asciiTheme="majorEastAsia" w:hAnsiTheme="majorEastAsia" w:eastAsiaTheme="majorEastAsia" w:cstheme="majorEastAsia"/>
                <w:bCs/>
                <w:color w:val="auto"/>
                <w:kern w:val="0"/>
                <w:sz w:val="21"/>
                <w:szCs w:val="21"/>
                <w:highlight w:val="none"/>
                <w:lang w:val="en-US" w:eastAsia="zh-CN" w:bidi="ar"/>
              </w:rPr>
              <w:t>（2）对于列入财政部、国家发改委发布的《节能产品政府采购品目清单》但不属于国家强制采购的产品，对其投标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w:t>
            </w:r>
          </w:p>
          <w:p w14:paraId="65282511">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Theme="majorEastAsia" w:hAnsiTheme="majorEastAsia" w:eastAsiaTheme="majorEastAsia" w:cstheme="majorEastAsia"/>
                <w:bCs/>
                <w:color w:val="auto"/>
                <w:kern w:val="0"/>
                <w:sz w:val="21"/>
                <w:szCs w:val="21"/>
                <w:highlight w:val="none"/>
                <w:lang w:val="en-US" w:eastAsia="zh-CN" w:bidi="ar"/>
              </w:rPr>
            </w:pPr>
            <w:r>
              <w:rPr>
                <w:rFonts w:hint="eastAsia" w:asciiTheme="majorEastAsia" w:hAnsiTheme="majorEastAsia" w:eastAsiaTheme="majorEastAsia" w:cstheme="majorEastAsia"/>
                <w:bCs/>
                <w:color w:val="auto"/>
                <w:kern w:val="0"/>
                <w:sz w:val="21"/>
                <w:szCs w:val="21"/>
                <w:highlight w:val="none"/>
                <w:lang w:val="en-US" w:eastAsia="zh-CN" w:bidi="ar"/>
              </w:rPr>
              <w:t>（3）投标产品同时列入上述多个清单的，将上述规定的价格扣除比例叠加后计算价格扣除。</w:t>
            </w:r>
          </w:p>
          <w:p w14:paraId="3F323D9B">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Theme="majorEastAsia" w:hAnsiTheme="majorEastAsia" w:eastAsiaTheme="majorEastAsia" w:cstheme="majorEastAsia"/>
                <w:bCs/>
                <w:color w:val="auto"/>
                <w:kern w:val="0"/>
                <w:sz w:val="21"/>
                <w:szCs w:val="21"/>
                <w:highlight w:val="none"/>
                <w:lang w:val="en-US" w:eastAsia="zh-CN" w:bidi="ar"/>
              </w:rPr>
            </w:pPr>
            <w:r>
              <w:rPr>
                <w:rFonts w:hint="eastAsia" w:asciiTheme="majorEastAsia" w:hAnsiTheme="majorEastAsia" w:eastAsiaTheme="majorEastAsia" w:cstheme="majorEastAsia"/>
                <w:bCs/>
                <w:color w:val="auto"/>
                <w:kern w:val="0"/>
                <w:sz w:val="21"/>
                <w:szCs w:val="21"/>
                <w:highlight w:val="none"/>
                <w:lang w:val="en-US" w:eastAsia="zh-CN" w:bidi="ar"/>
              </w:rPr>
              <w:t>（4）价格扣除的依据：第（1）至（3）条提供投标货物相关认证证书复印件加盖投标人公章。</w:t>
            </w:r>
          </w:p>
          <w:p w14:paraId="355858D5">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Theme="majorEastAsia" w:hAnsiTheme="majorEastAsia" w:eastAsiaTheme="majorEastAsia" w:cstheme="majorEastAsia"/>
                <w:bCs/>
                <w:color w:val="auto"/>
                <w:kern w:val="0"/>
                <w:sz w:val="21"/>
                <w:szCs w:val="21"/>
                <w:highlight w:val="none"/>
                <w:lang w:val="en-US" w:eastAsia="zh-CN" w:bidi="ar"/>
              </w:rPr>
            </w:pPr>
            <w:r>
              <w:rPr>
                <w:rFonts w:hint="eastAsia" w:asciiTheme="majorEastAsia" w:hAnsiTheme="majorEastAsia" w:eastAsiaTheme="majorEastAsia" w:cstheme="majorEastAsia"/>
                <w:bCs/>
                <w:color w:val="auto"/>
                <w:kern w:val="0"/>
                <w:sz w:val="21"/>
                <w:szCs w:val="21"/>
                <w:highlight w:val="none"/>
                <w:lang w:val="en-US" w:eastAsia="zh-CN" w:bidi="ar"/>
              </w:rPr>
              <w:t>注：投标人须提供清单相关页、对应产品型号，否则不予承认。</w:t>
            </w:r>
          </w:p>
        </w:tc>
      </w:tr>
      <w:tr w14:paraId="2F97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Pr>
          <w:p w14:paraId="3AABF5A4">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58</w:t>
            </w:r>
          </w:p>
        </w:tc>
        <w:tc>
          <w:tcPr>
            <w:tcW w:w="2969" w:type="dxa"/>
            <w:shd w:val="clear" w:color="auto" w:fill="auto"/>
            <w:vAlign w:val="center"/>
          </w:tcPr>
          <w:p w14:paraId="1D089A42">
            <w:pPr>
              <w:pStyle w:val="104"/>
              <w:keepNext w:val="0"/>
              <w:keepLines w:val="0"/>
              <w:pageBreakBefore w:val="0"/>
              <w:numPr>
                <w:ilvl w:val="0"/>
                <w:numId w:val="0"/>
              </w:numPr>
              <w:wordWrap w:val="0"/>
              <w:autoSpaceDE w:val="0"/>
              <w:autoSpaceDN w:val="0"/>
              <w:snapToGrid w:val="0"/>
              <w:spacing w:line="240" w:lineRule="auto"/>
              <w:ind w:leftChars="0"/>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本国产品</w:t>
            </w:r>
          </w:p>
        </w:tc>
        <w:tc>
          <w:tcPr>
            <w:tcW w:w="6777" w:type="dxa"/>
            <w:shd w:val="clear" w:color="auto" w:fill="auto"/>
            <w:vAlign w:val="center"/>
          </w:tcPr>
          <w:p w14:paraId="7B197E2C">
            <w:pPr>
              <w:pStyle w:val="104"/>
              <w:snapToGrid/>
              <w:ind w:firstLine="420" w:firstLineChars="200"/>
              <w:rPr>
                <w:rFonts w:ascii="Times New Roman" w:hAnsi="Times New Roman" w:eastAsia="宋体"/>
                <w:color w:val="000000"/>
                <w:highlight w:val="none"/>
                <w:lang w:val="en-US" w:eastAsia="zh-CN"/>
              </w:rPr>
            </w:pPr>
            <w:r>
              <w:rPr>
                <w:rFonts w:ascii="Times New Roman" w:hAnsi="Times New Roman" w:eastAsia="宋体"/>
                <w:color w:val="000000"/>
                <w:highlight w:val="none"/>
                <w:lang w:val="en-US" w:eastAsia="zh-CN"/>
              </w:rPr>
              <w:t>根据&lt;&lt;国务院办公厅关于在政府采购中实施本国产品标准及相关政策的通知&gt;&gt;(国办发[2025]34号)的规定，对提供的产品属于本国产品给予报价优惠政策。</w:t>
            </w:r>
          </w:p>
          <w:p w14:paraId="23DED0D0">
            <w:pPr>
              <w:pStyle w:val="104"/>
              <w:snapToGrid/>
              <w:ind w:firstLine="420" w:firstLineChars="200"/>
              <w:rPr>
                <w:rFonts w:hint="eastAsia" w:asciiTheme="majorEastAsia" w:hAnsiTheme="majorEastAsia" w:eastAsiaTheme="majorEastAsia" w:cstheme="majorEastAsia"/>
                <w:bCs/>
                <w:color w:val="auto"/>
                <w:kern w:val="0"/>
                <w:sz w:val="21"/>
                <w:szCs w:val="21"/>
                <w:highlight w:val="none"/>
                <w:lang w:val="en-US" w:eastAsia="zh-CN" w:bidi="ar"/>
              </w:rPr>
            </w:pPr>
            <w:r>
              <w:rPr>
                <w:rFonts w:ascii="Times New Roman" w:hAnsi="Times New Roman" w:eastAsia="宋体"/>
                <w:color w:val="000000"/>
                <w:highlight w:val="none"/>
                <w:lang w:val="en-US" w:eastAsia="zh-CN"/>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tc>
      </w:tr>
    </w:tbl>
    <w:p w14:paraId="50B68F39">
      <w:pPr>
        <w:autoSpaceDE w:val="0"/>
        <w:autoSpaceDN w:val="0"/>
        <w:adjustRightInd w:val="0"/>
        <w:snapToGrid w:val="0"/>
        <w:jc w:val="left"/>
        <w:rPr>
          <w:rFonts w:hint="eastAsia" w:ascii="宋体" w:hAnsi="宋体" w:eastAsia="宋体" w:cs="宋体"/>
          <w:b w:val="0"/>
          <w:bCs w:val="0"/>
          <w:color w:val="auto"/>
          <w:szCs w:val="21"/>
          <w:highlight w:val="none"/>
          <w:lang w:val="zh-CN"/>
        </w:rPr>
      </w:pPr>
    </w:p>
    <w:p w14:paraId="757D3CBB">
      <w:pPr>
        <w:autoSpaceDE w:val="0"/>
        <w:autoSpaceDN w:val="0"/>
        <w:adjustRightInd w:val="0"/>
        <w:snapToGrid w:val="0"/>
        <w:jc w:val="left"/>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注：（1）招标公告与采购文件有不一致的以招标公告内容为准。</w:t>
      </w:r>
    </w:p>
    <w:p w14:paraId="24EAC021">
      <w:pPr>
        <w:autoSpaceDE w:val="0"/>
        <w:autoSpaceDN w:val="0"/>
        <w:adjustRightInd w:val="0"/>
        <w:snapToGrid w:val="0"/>
        <w:jc w:val="left"/>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 xml:space="preserve">    （2）投标人须知前附表与投标人须知正文有不一致的以投标人须知前附表内容为准。</w:t>
      </w:r>
    </w:p>
    <w:p w14:paraId="3D08EA3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val="0"/>
          <w:bCs w:val="0"/>
          <w:color w:val="auto"/>
          <w:sz w:val="30"/>
          <w:szCs w:val="30"/>
          <w:highlight w:val="none"/>
          <w:lang w:val="zh-CN"/>
        </w:rPr>
        <w:br w:type="page"/>
      </w:r>
      <w:r>
        <w:rPr>
          <w:rFonts w:hint="eastAsia" w:ascii="宋体" w:hAnsi="宋体" w:eastAsia="宋体" w:cs="宋体"/>
          <w:b/>
          <w:bCs/>
          <w:color w:val="auto"/>
          <w:sz w:val="30"/>
          <w:szCs w:val="30"/>
          <w:highlight w:val="none"/>
          <w:lang w:val="zh-CN"/>
        </w:rPr>
        <w:t>投标人须知</w:t>
      </w:r>
    </w:p>
    <w:p w14:paraId="79A357FB">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1．适用法律：</w:t>
      </w:r>
      <w:r>
        <w:rPr>
          <w:rFonts w:hint="eastAsia" w:ascii="宋体" w:hAnsi="宋体" w:eastAsia="宋体" w:cs="宋体"/>
          <w:color w:val="auto"/>
          <w:szCs w:val="21"/>
          <w:highlight w:val="none"/>
          <w:lang w:val="zh-CN"/>
        </w:rPr>
        <w:t>本次采购适用法律法规为《中华人民共和国政府采购法》《政府采购货物和服务招标投标管理办法》及政府采购其它相关法规。</w:t>
      </w:r>
    </w:p>
    <w:p w14:paraId="2EB7D99C">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2．定义：</w:t>
      </w:r>
    </w:p>
    <w:p w14:paraId="6A37598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采购代理机构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指中资国际工程咨询集团有限责任公司，负责采购活动的组织工作。</w:t>
      </w:r>
    </w:p>
    <w:p w14:paraId="469DAA2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w:t>
      </w:r>
      <w:r>
        <w:rPr>
          <w:rFonts w:hint="eastAsia" w:ascii="宋体" w:hAnsi="宋体" w:eastAsia="宋体" w:cs="宋体"/>
          <w:color w:val="auto"/>
          <w:szCs w:val="21"/>
          <w:highlight w:val="none"/>
          <w:u w:val="single"/>
          <w:lang w:val="zh-CN"/>
        </w:rPr>
        <w:t xml:space="preserve">吉林省公安厅 </w:t>
      </w:r>
      <w:r>
        <w:rPr>
          <w:rFonts w:hint="eastAsia" w:ascii="宋体" w:hAnsi="宋体" w:eastAsia="宋体" w:cs="宋体"/>
          <w:color w:val="auto"/>
          <w:szCs w:val="21"/>
          <w:highlight w:val="none"/>
          <w:lang w:val="zh-CN"/>
        </w:rPr>
        <w:t>，负责采购项目的整体规划、采购需求设计和可行性论证，作为合同的需方，承担质疑答复，合同履行、验收、评价等义务。</w:t>
      </w:r>
    </w:p>
    <w:p w14:paraId="6210AE4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采购内容</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lang w:val="zh-CN"/>
        </w:rPr>
        <w:t>章《采购需求及技术规格要求》。</w:t>
      </w:r>
    </w:p>
    <w:p w14:paraId="7C082D8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潜在投标人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指确认参加投标的供应商。</w:t>
      </w:r>
    </w:p>
    <w:p w14:paraId="04C423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指响应本采购文件参加投标的供应商。</w:t>
      </w:r>
    </w:p>
    <w:p w14:paraId="0D6B3A6A">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3．合格投标人资格条件要求：</w:t>
      </w:r>
    </w:p>
    <w:p w14:paraId="7E57D3D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lang w:val="zh-CN"/>
        </w:rPr>
        <w:t>投标人须符合《中华人民共和国政府采购法》第二十二条规定。</w:t>
      </w:r>
    </w:p>
    <w:p w14:paraId="0C65D7A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3.2</w:t>
      </w:r>
      <w:r>
        <w:rPr>
          <w:rFonts w:hint="eastAsia" w:ascii="宋体" w:hAnsi="宋体" w:eastAsia="宋体" w:cs="宋体"/>
          <w:color w:val="auto"/>
          <w:kern w:val="0"/>
          <w:szCs w:val="21"/>
          <w:highlight w:val="none"/>
          <w:lang w:val="zh-CN"/>
        </w:rPr>
        <w:t>落实政府采购政策需满足的资格要求：根据《政府采购促进中小企业发展管理办法》（财库〔2020〕46号）规定，本项目专门面向中小企业采购，供应商应出具合格的《中小企业声明函》。项目。</w:t>
      </w:r>
    </w:p>
    <w:p w14:paraId="4212E8B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3.3</w:t>
      </w:r>
      <w:r>
        <w:rPr>
          <w:rFonts w:hint="eastAsia" w:ascii="宋体" w:hAnsi="宋体" w:eastAsia="宋体" w:cs="宋体"/>
          <w:color w:val="auto"/>
          <w:kern w:val="0"/>
          <w:szCs w:val="21"/>
          <w:highlight w:val="none"/>
          <w:lang w:val="zh-CN"/>
        </w:rPr>
        <w:t>本项目的特定资格要求：</w:t>
      </w:r>
    </w:p>
    <w:p w14:paraId="3F35F13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3.1投标人是在中华人民共和国境内注册的法人单位或其他组织，并在人员、设备、资金等方面具备相应的供货能力。</w:t>
      </w:r>
    </w:p>
    <w:p w14:paraId="6E688CA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3.2信誉要求：</w:t>
      </w:r>
    </w:p>
    <w:p w14:paraId="7C3117C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（1）不接受列入政府取消投标资格记录期间的企业或个人参加投标。</w:t>
      </w:r>
    </w:p>
    <w:p w14:paraId="79CEBBFF">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供应商不得为“信用中国”网站（www.creditchina.gov.cn）中列入失信被执行人和重大税收违法失信主体的投标人，不得为中国政府采购网（www.ccgp.gov.cn）政府采购严重违法失信行为记录名单中被财政部门禁止参加政府采购活动的投标人（在处罚决定规定的时间和地域范围内）（详见财库【2016】125号文）。</w:t>
      </w:r>
    </w:p>
    <w:p w14:paraId="5DE78F0F">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（3）供应商未被工商行政管理机关在全国企业信用信息公示系统（www.gsxt.gov.cn）中列入严重违法失信企业名单；</w:t>
      </w:r>
    </w:p>
    <w:p w14:paraId="1466DCE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（4）供应商近三年（2023年1月1日至今）内在中国裁判文书网（wenshu.court.gov.cn）无行贿犯罪记录。</w:t>
      </w:r>
    </w:p>
    <w:p w14:paraId="1749049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3.3其他要求：与采购人存在利害关系可能影响采购公正性的法人、其它组织或者个人，不得参加投标；单位负责人为同一人或者存在直接控股、管理关系的不同投标人，不得参加同一合同项下的政府采购活动。否则相关投标无效。</w:t>
      </w:r>
    </w:p>
    <w:p w14:paraId="0A3DC160">
      <w:pPr>
        <w:keepNext w:val="0"/>
        <w:keepLines w:val="0"/>
        <w:pageBreakBefore w:val="0"/>
        <w:kinsoku/>
        <w:wordWrap/>
        <w:overflowPunct/>
        <w:topLinePunct w:val="0"/>
        <w:autoSpaceDE w:val="0"/>
        <w:autoSpaceDN w:val="0"/>
        <w:bidi w:val="0"/>
        <w:adjustRightInd w:val="0"/>
        <w:snapToGrid w:val="0"/>
        <w:spacing w:line="312" w:lineRule="auto"/>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以上各款关于合格投标人资格条件的要求均须提供中文文本，否则无效，投标人应按第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val="zh-CN"/>
        </w:rPr>
        <w:t>章《投标文件构成、要求及格式》的相关规定提交。</w:t>
      </w:r>
    </w:p>
    <w:p w14:paraId="0B3A92B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4．项目答疑会和踏勘现场：</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4992"/>
      </w:tblGrid>
      <w:tr w14:paraId="3E7E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68AF59EC">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7791D8CD">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不组织</w:t>
            </w:r>
          </w:p>
        </w:tc>
      </w:tr>
      <w:tr w14:paraId="0555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35BA2819">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31CE5A44">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不召开</w:t>
            </w:r>
          </w:p>
        </w:tc>
      </w:tr>
    </w:tbl>
    <w:p w14:paraId="389B627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5．投标费用：</w:t>
      </w:r>
      <w:r>
        <w:rPr>
          <w:rFonts w:hint="eastAsia" w:ascii="宋体" w:hAnsi="宋体" w:eastAsia="宋体" w:cs="宋体"/>
          <w:color w:val="auto"/>
          <w:szCs w:val="21"/>
          <w:highlight w:val="none"/>
          <w:lang w:val="zh-CN"/>
        </w:rPr>
        <w:t>投标人应自行承担所有与编写和提交投标文件有关的费用，无论投标的结果如何，采购人在任何情况下均无义务和责任承担这些费用。</w:t>
      </w:r>
    </w:p>
    <w:p w14:paraId="4A97D06A">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6. 采购文件：</w:t>
      </w:r>
    </w:p>
    <w:p w14:paraId="7C4036B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6.1 采购文件的构成：</w:t>
      </w:r>
    </w:p>
    <w:p w14:paraId="6F8C2F2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第一章  招标公告</w:t>
      </w:r>
    </w:p>
    <w:p w14:paraId="0FC8CC8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第二章  投标人须知</w:t>
      </w:r>
    </w:p>
    <w:p w14:paraId="33092F9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第三章  评标标准和方法</w:t>
      </w:r>
      <w:r>
        <w:rPr>
          <w:rFonts w:hint="eastAsia" w:ascii="宋体" w:hAnsi="宋体" w:eastAsia="宋体" w:cs="宋体"/>
          <w:color w:val="auto"/>
          <w:szCs w:val="21"/>
          <w:highlight w:val="none"/>
          <w:lang w:val="zh-CN"/>
        </w:rPr>
        <w:tab/>
      </w:r>
    </w:p>
    <w:p w14:paraId="00E4AD6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第四章  合同条款</w:t>
      </w:r>
      <w:r>
        <w:rPr>
          <w:rFonts w:hint="eastAsia" w:ascii="宋体" w:hAnsi="宋体" w:eastAsia="宋体" w:cs="宋体"/>
          <w:color w:val="auto"/>
          <w:szCs w:val="21"/>
          <w:highlight w:val="none"/>
          <w:lang w:val="zh-CN"/>
        </w:rPr>
        <w:tab/>
      </w:r>
    </w:p>
    <w:p w14:paraId="798C875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第五章  采购需求及技术规格要求</w:t>
      </w:r>
      <w:r>
        <w:rPr>
          <w:rFonts w:hint="eastAsia" w:ascii="宋体" w:hAnsi="宋体" w:eastAsia="宋体" w:cs="宋体"/>
          <w:color w:val="auto"/>
          <w:szCs w:val="21"/>
          <w:highlight w:val="none"/>
          <w:lang w:val="zh-CN"/>
        </w:rPr>
        <w:tab/>
      </w:r>
    </w:p>
    <w:p w14:paraId="0A530A2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val="zh-CN"/>
        </w:rPr>
        <w:t>章  投标文件构成、要求及格式</w:t>
      </w:r>
      <w:r>
        <w:rPr>
          <w:rFonts w:hint="eastAsia" w:ascii="宋体" w:hAnsi="宋体" w:eastAsia="宋体" w:cs="宋体"/>
          <w:color w:val="auto"/>
          <w:szCs w:val="21"/>
          <w:highlight w:val="none"/>
          <w:lang w:val="zh-CN"/>
        </w:rPr>
        <w:tab/>
      </w:r>
    </w:p>
    <w:p w14:paraId="00C2C45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6.2投标人应认真阅读采购文件中所有事项、格式、条款和规范等要求。如果投标人没有按照采购文件要求提交全部文件资料或投标文件没有对采购文件在各方面都做出实质性响应，是投标人的风险。</w:t>
      </w:r>
    </w:p>
    <w:p w14:paraId="4CAB8F58">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 采购文件的澄清和修改</w:t>
      </w:r>
    </w:p>
    <w:p w14:paraId="3274D83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w:t>
      </w:r>
      <w:r>
        <w:rPr>
          <w:rFonts w:hint="eastAsia" w:ascii="宋体" w:hAnsi="宋体" w:eastAsia="宋体" w:cs="宋体"/>
          <w:color w:val="auto"/>
          <w:szCs w:val="21"/>
          <w:highlight w:val="none"/>
        </w:rPr>
        <w:t>任何要求对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进行澄清的投标人，均应在收到</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之日或招标公告截止之日起7个工作日前以书面形式通知采购方，采购方对收到的澄清要求将视所提问题具体情况以书面形式予以答复</w:t>
      </w:r>
      <w:r>
        <w:rPr>
          <w:rFonts w:hint="eastAsia" w:ascii="宋体" w:hAnsi="宋体" w:eastAsia="宋体" w:cs="宋体"/>
          <w:color w:val="auto"/>
          <w:szCs w:val="21"/>
          <w:highlight w:val="none"/>
          <w:lang w:val="zh-CN"/>
        </w:rPr>
        <w:t>澄清</w:t>
      </w:r>
      <w:r>
        <w:rPr>
          <w:rFonts w:hint="eastAsia" w:ascii="宋体" w:hAnsi="宋体" w:eastAsia="宋体" w:cs="宋体"/>
          <w:color w:val="auto"/>
          <w:szCs w:val="21"/>
          <w:highlight w:val="none"/>
        </w:rPr>
        <w:t>，同时</w:t>
      </w:r>
      <w:r>
        <w:rPr>
          <w:rFonts w:hint="eastAsia" w:ascii="宋体" w:hAnsi="宋体" w:eastAsia="宋体" w:cs="宋体"/>
          <w:color w:val="auto"/>
          <w:szCs w:val="21"/>
          <w:highlight w:val="none"/>
          <w:lang w:val="en-US" w:eastAsia="zh-CN"/>
        </w:rPr>
        <w:t>在政采云发布</w:t>
      </w:r>
      <w:r>
        <w:rPr>
          <w:rFonts w:hint="eastAsia" w:ascii="宋体" w:hAnsi="宋体" w:eastAsia="宋体" w:cs="宋体"/>
          <w:color w:val="auto"/>
          <w:szCs w:val="21"/>
          <w:highlight w:val="none"/>
        </w:rPr>
        <w:t>。答复中包括所提的问题，但不包括问题的来源。</w:t>
      </w:r>
      <w:r>
        <w:rPr>
          <w:rFonts w:hint="eastAsia" w:ascii="宋体" w:hAnsi="宋体" w:eastAsia="宋体" w:cs="宋体"/>
          <w:color w:val="auto"/>
          <w:szCs w:val="21"/>
          <w:highlight w:val="none"/>
          <w:lang w:val="zh-CN"/>
        </w:rPr>
        <w:t>采购人对收到的供应商书面质疑，将按照政府采购法律规章的规定处理。</w:t>
      </w:r>
    </w:p>
    <w:p w14:paraId="0F523C4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 采购人可在投标截止时间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5日前（含）对采购文件进行修改、补充。采购文件的修改、补充文件将</w:t>
      </w:r>
      <w:r>
        <w:rPr>
          <w:rFonts w:hint="eastAsia" w:ascii="宋体" w:hAnsi="宋体" w:eastAsia="宋体" w:cs="宋体"/>
          <w:color w:val="auto"/>
          <w:szCs w:val="21"/>
          <w:highlight w:val="none"/>
          <w:lang w:val="en-US" w:eastAsia="zh-CN"/>
        </w:rPr>
        <w:t>在政采云进行公布</w:t>
      </w:r>
      <w:r>
        <w:rPr>
          <w:rFonts w:hint="eastAsia" w:ascii="宋体" w:hAnsi="宋体" w:eastAsia="宋体" w:cs="宋体"/>
          <w:color w:val="auto"/>
          <w:szCs w:val="21"/>
          <w:highlight w:val="none"/>
          <w:lang w:val="zh-CN"/>
        </w:rPr>
        <w:t>。</w:t>
      </w:r>
    </w:p>
    <w:p w14:paraId="07C512C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采购文件的澄清、修改、补充文件均构成采购文件的组成部分，对所有投标人具有约束力，</w:t>
      </w:r>
      <w:r>
        <w:rPr>
          <w:rFonts w:hint="eastAsia" w:ascii="宋体" w:hAnsi="宋体" w:eastAsia="宋体" w:cs="宋体"/>
          <w:color w:val="auto"/>
          <w:szCs w:val="21"/>
          <w:highlight w:val="none"/>
          <w:lang w:val="en-US" w:eastAsia="zh-CN"/>
        </w:rPr>
        <w:t>请投标人自行登录政采云进行查看</w:t>
      </w:r>
      <w:r>
        <w:rPr>
          <w:rFonts w:hint="eastAsia" w:ascii="宋体" w:hAnsi="宋体" w:eastAsia="宋体" w:cs="宋体"/>
          <w:color w:val="auto"/>
          <w:szCs w:val="21"/>
          <w:highlight w:val="none"/>
          <w:lang w:val="zh-CN"/>
        </w:rPr>
        <w:t>。</w:t>
      </w:r>
    </w:p>
    <w:p w14:paraId="79DCBEB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7.4 为使投标人有充分的时间对采购文件的澄清、修改、补充部分进行研究，采购人可在投标截止时间3日前（含）自行决定酌情延长投标截止时间，延长投标截止时间的公告将在发布招标公告的媒体上发告。在这种情况下，采购人和投标人受投标截止时间制约的所有权利和义务均相应延长至新的投标截止时间。</w:t>
      </w:r>
    </w:p>
    <w:p w14:paraId="7B76783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8. 投标文件构成：</w:t>
      </w:r>
    </w:p>
    <w:p w14:paraId="0E4E1B5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8.1投标文件分为商务部分和技术部分。商务部分是投标人提交的证明其具有合格的投标资格和中标后有能力履行合同的文件。技术部分是能够证明投标人所提供货物和服务的合格性和符合采购文件规定的文件。</w:t>
      </w:r>
    </w:p>
    <w:p w14:paraId="4C376EE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8.2 投标人应提交本采购文件第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w:t>
      </w:r>
      <w:r>
        <w:rPr>
          <w:rFonts w:hint="eastAsia" w:ascii="宋体" w:hAnsi="宋体" w:eastAsia="宋体" w:cs="宋体"/>
          <w:color w:val="auto"/>
          <w:szCs w:val="21"/>
          <w:highlight w:val="none"/>
          <w:lang w:val="zh-CN"/>
        </w:rPr>
        <w:t>《投标文件构成、要求及格式》</w:t>
      </w:r>
      <w:r>
        <w:rPr>
          <w:rFonts w:hint="eastAsia" w:ascii="宋体" w:hAnsi="宋体" w:eastAsia="宋体" w:cs="宋体"/>
          <w:color w:val="auto"/>
          <w:kern w:val="0"/>
          <w:szCs w:val="21"/>
          <w:highlight w:val="none"/>
          <w:lang w:val="zh-CN"/>
        </w:rPr>
        <w:t>规定的全部商务文件和技术文件，若有缺失、无效或者不符合采购文件要求，将导致其投标被拒绝。</w:t>
      </w:r>
    </w:p>
    <w:p w14:paraId="67F71EB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8.3 第二章《投标人须知》要求提交的投标保证金。</w:t>
      </w:r>
    </w:p>
    <w:p w14:paraId="1AA4E8D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9. 投标文件的编制（采用电子招标的，以政采云平台以及采购文件要求为准）</w:t>
      </w:r>
    </w:p>
    <w:p w14:paraId="4542BC3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 xml:space="preserve">9.1 投标语言：投标文件以及投标人与采购人就有关投标的来往函电均使用中文。 </w:t>
      </w:r>
    </w:p>
    <w:p w14:paraId="4777F28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9.2 计量单位：中华人民共和国法定计量单位。</w:t>
      </w:r>
    </w:p>
    <w:p w14:paraId="2F8A1A7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 xml:space="preserve">9.3 </w:t>
      </w:r>
      <w:r>
        <w:rPr>
          <w:rFonts w:hint="eastAsia" w:ascii="宋体" w:hAnsi="宋体" w:eastAsia="宋体" w:cs="宋体"/>
          <w:color w:val="auto"/>
          <w:kern w:val="0"/>
          <w:szCs w:val="21"/>
          <w:highlight w:val="none"/>
          <w:shd w:val="clear" w:color="auto" w:fill="auto"/>
          <w:lang w:val="zh-CN"/>
        </w:rPr>
        <w:t>投标人在投标文件以及在投标、合同签订、履行过程中所签署的相关文件中所加盖的公章，均须按照采购文件的规定加盖与投标人名称全称相一致的标准公章。</w:t>
      </w:r>
    </w:p>
    <w:p w14:paraId="5565F7D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shd w:val="clear" w:color="auto" w:fill="auto"/>
          <w:lang w:val="zh-CN"/>
        </w:rPr>
      </w:pPr>
      <w:r>
        <w:rPr>
          <w:rFonts w:hint="eastAsia" w:ascii="宋体" w:hAnsi="宋体" w:eastAsia="宋体" w:cs="宋体"/>
          <w:color w:val="auto"/>
          <w:kern w:val="0"/>
          <w:szCs w:val="21"/>
          <w:highlight w:val="none"/>
          <w:shd w:val="clear" w:color="auto" w:fill="auto"/>
          <w:lang w:val="zh-CN"/>
        </w:rPr>
        <w:t>9.</w:t>
      </w:r>
      <w:r>
        <w:rPr>
          <w:rFonts w:hint="eastAsia" w:ascii="宋体" w:hAnsi="宋体" w:eastAsia="宋体" w:cs="宋体"/>
          <w:color w:val="auto"/>
          <w:kern w:val="0"/>
          <w:szCs w:val="21"/>
          <w:highlight w:val="none"/>
          <w:shd w:val="clear" w:color="auto" w:fill="auto"/>
          <w:lang w:val="en-US" w:eastAsia="zh-CN"/>
        </w:rPr>
        <w:t>4</w:t>
      </w:r>
      <w:r>
        <w:rPr>
          <w:rFonts w:hint="eastAsia" w:ascii="宋体" w:hAnsi="宋体" w:eastAsia="宋体" w:cs="宋体"/>
          <w:color w:val="auto"/>
          <w:kern w:val="0"/>
          <w:szCs w:val="21"/>
          <w:highlight w:val="none"/>
          <w:shd w:val="clear" w:color="auto" w:fill="auto"/>
          <w:lang w:val="zh-CN"/>
        </w:rPr>
        <w:t xml:space="preserve"> 采购人不接受采用传真方式提交的投标文件。</w:t>
      </w:r>
    </w:p>
    <w:p w14:paraId="7A758E3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10. 投标报价</w:t>
      </w:r>
    </w:p>
    <w:p w14:paraId="79FC214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10.1投标供应商的投标报价应在控制范围内，超出此范围的投标报价为废标。投标货币：所有投标报价均以人民币元为计算单位。</w:t>
      </w:r>
    </w:p>
    <w:p w14:paraId="6436D99A">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10.2投标人应一次性报出投标的单价和总价，只允许有一个报价，任何有选择的报价将不予接受。投标人所报价格应为在本采购文件指定地点</w:t>
      </w:r>
      <w:r>
        <w:rPr>
          <w:rFonts w:hint="eastAsia" w:ascii="宋体" w:hAnsi="宋体" w:eastAsia="宋体" w:cs="宋体"/>
          <w:color w:val="auto"/>
          <w:szCs w:val="21"/>
          <w:highlight w:val="none"/>
          <w:shd w:val="clear" w:color="auto" w:fill="auto"/>
          <w:lang w:val="en-US" w:eastAsia="zh-CN"/>
        </w:rPr>
        <w:t>服务并保证</w:t>
      </w:r>
      <w:r>
        <w:rPr>
          <w:rFonts w:hint="eastAsia" w:ascii="宋体" w:hAnsi="宋体" w:eastAsia="宋体" w:cs="宋体"/>
          <w:color w:val="auto"/>
          <w:szCs w:val="21"/>
          <w:highlight w:val="none"/>
          <w:shd w:val="clear" w:color="auto" w:fill="auto"/>
          <w:lang w:val="zh-CN"/>
        </w:rPr>
        <w:t>验收合格的全部价格。</w:t>
      </w:r>
    </w:p>
    <w:p w14:paraId="5E216FE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10.3投标人所报的价格在合同执行过程中是固定不变的，不得以任何理由予以变更。以可调整的价格提交的投标将作为非响应性投标予以拒绝。</w:t>
      </w:r>
    </w:p>
    <w:p w14:paraId="375EC0A4">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11. 投标保证金</w:t>
      </w:r>
    </w:p>
    <w:p w14:paraId="0701156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11.1投标人应在规定的时间内按要求提交足额</w:t>
      </w:r>
      <w:r>
        <w:rPr>
          <w:rFonts w:hint="eastAsia" w:ascii="宋体" w:hAnsi="宋体" w:eastAsia="宋体" w:cs="宋体"/>
          <w:color w:val="auto"/>
          <w:szCs w:val="21"/>
          <w:highlight w:val="none"/>
          <w:shd w:val="clear" w:color="auto" w:fill="auto"/>
        </w:rPr>
        <w:t>的投标保证金</w:t>
      </w:r>
      <w:r>
        <w:rPr>
          <w:rFonts w:hint="eastAsia" w:ascii="宋体" w:hAnsi="宋体" w:eastAsia="宋体" w:cs="宋体"/>
          <w:color w:val="auto"/>
          <w:szCs w:val="21"/>
          <w:highlight w:val="none"/>
          <w:shd w:val="clear" w:color="auto" w:fill="auto"/>
          <w:lang w:val="zh-CN"/>
        </w:rPr>
        <w:t>。</w:t>
      </w:r>
    </w:p>
    <w:p w14:paraId="378C3D9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11.2投标保证金是为了弥补采购人因投标人的违规行为而蒙受的损失。采购人在因投标人的违规行为而受到损害时，将不予退还投标人的投标保证金，并作为所受损害的补偿。</w:t>
      </w:r>
    </w:p>
    <w:p w14:paraId="4187D34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11.3投标保证金是投标文件的一个组成部分。在开标时，凡没有按规定提交投标保证金的投标，将被视为非响应性投标予以拒绝。</w:t>
      </w:r>
    </w:p>
    <w:p w14:paraId="2C463AB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11.4未中标投标人的投标保证金将在中标通知书发出后5个工作日内退还，不计利息。</w:t>
      </w:r>
    </w:p>
    <w:p w14:paraId="15F5F64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11.5中标人的投标保证金，在中标人按本须知第21条规定签署合同，并按第22条规定交纳了履约保证金后5个工作日内退还，不计利息。</w:t>
      </w:r>
    </w:p>
    <w:p w14:paraId="5702CAB9">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11.6下列情况之一发生时，投标保证金将不予退还：</w:t>
      </w:r>
    </w:p>
    <w:p w14:paraId="43F14D2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（1）投标人在采购文件规定的投标有效期内撤回其投标；（2）中标人在规定期限内未能做到：a.按照本须知第21条规定签订合同；b.按照本须知第22条规定提交履约保证金。</w:t>
      </w:r>
    </w:p>
    <w:p w14:paraId="07C06CA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（3）采购文件规定不予退还投标保证金的其他情形。</w:t>
      </w:r>
    </w:p>
    <w:p w14:paraId="1D91B0E9">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12. 投标有效期：</w:t>
      </w:r>
    </w:p>
    <w:p w14:paraId="62D678F2">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12.1投标有效期为自开标之时起90天。投标文件在这个规定期限内应保持有效。</w:t>
      </w:r>
    </w:p>
    <w:p w14:paraId="68B09C41">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12.2在特殊情况下，采购人可与投标人协商延长投标有效期。这种要求和答复都应以书面形式进行。投标人可以拒绝接受延期要求而不会被没收投标保证金。同意延长投标有效期的投标人除按照采购人要求修改投标文件的有效期外，不能修改投标文件的其他内容。</w:t>
      </w:r>
    </w:p>
    <w:p w14:paraId="53462890">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12.3中标人的投标文件有效期等同于合同履行期。</w:t>
      </w:r>
    </w:p>
    <w:p w14:paraId="60E4B377">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13. 投标文件的式样和签署</w:t>
      </w:r>
    </w:p>
    <w:p w14:paraId="220B625A">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13.1采用电子招标的，以政采云平台以及采购文件要求为准。</w:t>
      </w:r>
    </w:p>
    <w:p w14:paraId="4775E5D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14. 投标文件的修改和撤回</w:t>
      </w:r>
    </w:p>
    <w:p w14:paraId="772F8C7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14.1投标人在递交投标文件后，可以修改或撤回其投标文件。</w:t>
      </w:r>
    </w:p>
    <w:p w14:paraId="1277FF9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14.2在投标截止时间（开标时间）之后，投标人不得对其投标书做任何修改（包括开标一览表的内容）。</w:t>
      </w:r>
    </w:p>
    <w:p w14:paraId="6938A18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14.</w:t>
      </w: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lang w:val="zh-CN"/>
        </w:rPr>
        <w:t>从开标时间起，至投标有效期期满，投标人不得撤回其投标，否则，其投标保证金将不予退还。</w:t>
      </w:r>
    </w:p>
    <w:p w14:paraId="26672D5D">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15. 投标</w:t>
      </w:r>
    </w:p>
    <w:p w14:paraId="2B78D89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15.1</w:t>
      </w:r>
      <w:r>
        <w:rPr>
          <w:rFonts w:hint="eastAsia" w:ascii="宋体" w:hAnsi="宋体" w:eastAsia="宋体" w:cs="宋体"/>
          <w:color w:val="auto"/>
          <w:szCs w:val="21"/>
          <w:highlight w:val="none"/>
          <w:shd w:val="clear" w:color="auto" w:fill="auto"/>
          <w:lang w:val="zh-CN"/>
        </w:rPr>
        <w:t>投标人的投标文件应在本项目投标截止时间前送达开标地点。采用全流程电子化交易的项目，投标人应通过政采云平台上传电子加密投标文件。</w:t>
      </w:r>
    </w:p>
    <w:p w14:paraId="64F932E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15.2</w:t>
      </w:r>
      <w:r>
        <w:rPr>
          <w:rFonts w:hint="eastAsia" w:ascii="宋体" w:hAnsi="宋体" w:eastAsia="宋体" w:cs="宋体"/>
          <w:color w:val="auto"/>
          <w:szCs w:val="21"/>
          <w:highlight w:val="none"/>
          <w:shd w:val="clear" w:color="auto" w:fill="auto"/>
          <w:lang w:val="zh-CN"/>
        </w:rPr>
        <w:t>逾期送达或者未按照采购文件要求密封（上传）的投标文件，采购人、采购代理机构应当拒收。</w:t>
      </w:r>
    </w:p>
    <w:p w14:paraId="1BA594B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16. 开标</w:t>
      </w:r>
    </w:p>
    <w:p w14:paraId="3C6C594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1.采购代理机构在招标公告中规定的日期、时间和地点组织开标会议。开标时邀请所有投标人代表参加。采用全流程电子化交易的项目，投标人应通过政采云平台参加开标。</w:t>
      </w:r>
    </w:p>
    <w:p w14:paraId="3ABD03A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2.采用非电子化交易的项目，开标时，由投标人或者其推选的代表检查投标文件的密封情况；经确认无误后，由采购人或者采购代理机构工作人员当众拆封，宣布投标人名称、投标价格和采购文件规定的需要宣布的其他内容。</w:t>
      </w:r>
    </w:p>
    <w:p w14:paraId="61B8621F">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3.开标过程应当由采购人或者采购代理机构负责记录，由参加开标的各投标人代表和相关工作人员签字确认。</w:t>
      </w:r>
    </w:p>
    <w:p w14:paraId="2860CC3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AA633F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5.投标人未参加开标的，视同认可开标结果。</w:t>
      </w:r>
    </w:p>
    <w:p w14:paraId="31F391F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6.采用全流程电子化交易的项目，开标流程以政采云平台流程为准。</w:t>
      </w:r>
    </w:p>
    <w:p w14:paraId="7306438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7</w:t>
      </w:r>
      <w:r>
        <w:rPr>
          <w:rFonts w:hint="eastAsia" w:ascii="宋体" w:hAnsi="宋体" w:eastAsia="宋体" w:cs="宋体"/>
          <w:color w:val="auto"/>
          <w:szCs w:val="21"/>
          <w:highlight w:val="none"/>
          <w:shd w:val="clear" w:color="auto" w:fill="auto"/>
          <w:lang w:val="en-US" w:eastAsia="zh-CN"/>
        </w:rPr>
        <w:t xml:space="preserve">.法律法规规定的其他属于投标无效的 </w:t>
      </w:r>
    </w:p>
    <w:p w14:paraId="460BC91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7.1.有下列情形之一的，视为投标人串通投标，其投标无效： </w:t>
      </w:r>
    </w:p>
    <w:p w14:paraId="3D052FA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一、不同投标人的投标文件由同一单位或者个人编制或同一 IP 地址上传； </w:t>
      </w:r>
    </w:p>
    <w:p w14:paraId="64807DB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二、不同投标人委托同一单位或者个人办理投标事宜； </w:t>
      </w:r>
    </w:p>
    <w:p w14:paraId="001B998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三、不同投标人的投标文件载明的项目管理成员或者联系人员为同一人； </w:t>
      </w:r>
    </w:p>
    <w:p w14:paraId="2742C1D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四、不同投标人的投标文件异常一致或者投标报价呈规律性差异； </w:t>
      </w:r>
    </w:p>
    <w:p w14:paraId="0C739F9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五、不同投标人的投标文件相互混装； </w:t>
      </w:r>
    </w:p>
    <w:p w14:paraId="462BE35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六、不同投标人的投标保证金从同一单位或者个人的账户转出。 </w:t>
      </w:r>
    </w:p>
    <w:p w14:paraId="416B0A5F">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7.2. 有下列情形之一的视为无效投标： </w:t>
      </w:r>
    </w:p>
    <w:p w14:paraId="273CFD7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（一）上传的投标（响应）文件文本格式未按照电子化采购系统要求制作，出现乱码等情况不能进行评审的； </w:t>
      </w:r>
    </w:p>
    <w:p w14:paraId="346F95F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（二）上传的投标（响应）文件未加盖电子签章； </w:t>
      </w:r>
    </w:p>
    <w:p w14:paraId="58CEF22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（三）其他因供应商原因造成投标（响应）文件解密失败的。</w:t>
      </w:r>
    </w:p>
    <w:p w14:paraId="3F1A1FC9">
      <w:pPr>
        <w:keepNext w:val="0"/>
        <w:keepLines w:val="0"/>
        <w:pageBreakBefore w:val="0"/>
        <w:widowControl/>
        <w:suppressLineNumbers w:val="0"/>
        <w:kinsoku/>
        <w:wordWrap/>
        <w:overflowPunct/>
        <w:topLinePunct w:val="0"/>
        <w:bidi w:val="0"/>
        <w:spacing w:line="312" w:lineRule="auto"/>
        <w:jc w:val="lef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首次招标废标后将重新招标，重新招标仍出现本款情形的，可按本须知第19条规定处理。</w:t>
      </w:r>
    </w:p>
    <w:p w14:paraId="2995145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 xml:space="preserve">8.废标 </w:t>
      </w:r>
    </w:p>
    <w:p w14:paraId="584B246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 xml:space="preserve">在招标采购中，出现下列情形之一的，应予废标： </w:t>
      </w:r>
    </w:p>
    <w:p w14:paraId="0902C28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 xml:space="preserve">（1）符合专业条件的供应商或者对采购文件作实质响应的供应商不足三家的； </w:t>
      </w:r>
    </w:p>
    <w:p w14:paraId="3C9F6EC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 xml:space="preserve">（2）出现影响采购公正的违法、违规行为的； </w:t>
      </w:r>
    </w:p>
    <w:p w14:paraId="6EF77F3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 xml:space="preserve">（3）投标人的报价均超过了采购预算，采购人不能支付的； </w:t>
      </w:r>
    </w:p>
    <w:p w14:paraId="31E4B8E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eastAsia="zh-CN"/>
        </w:rPr>
      </w:pPr>
      <w:r>
        <w:rPr>
          <w:rFonts w:hint="eastAsia" w:ascii="宋体" w:hAnsi="宋体" w:eastAsia="宋体" w:cs="宋体"/>
          <w:color w:val="auto"/>
          <w:szCs w:val="21"/>
          <w:highlight w:val="none"/>
          <w:shd w:val="clear" w:color="auto" w:fill="auto"/>
          <w:lang w:val="en-US" w:eastAsia="zh-CN"/>
        </w:rPr>
        <w:t>（4）因重大变故，采购任务取消的。</w:t>
      </w:r>
    </w:p>
    <w:p w14:paraId="1721D9A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17. 评标过程的保密性：</w:t>
      </w:r>
      <w:r>
        <w:rPr>
          <w:rFonts w:hint="eastAsia" w:ascii="宋体" w:hAnsi="宋体" w:eastAsia="宋体" w:cs="宋体"/>
          <w:color w:val="auto"/>
          <w:szCs w:val="21"/>
          <w:highlight w:val="none"/>
          <w:shd w:val="clear" w:color="auto" w:fill="auto"/>
          <w:lang w:val="en-US" w:eastAsia="zh-CN"/>
        </w:rPr>
        <w:t>项目</w:t>
      </w:r>
      <w:r>
        <w:rPr>
          <w:rFonts w:hint="eastAsia" w:ascii="宋体" w:hAnsi="宋体" w:eastAsia="宋体" w:cs="宋体"/>
          <w:color w:val="auto"/>
          <w:szCs w:val="21"/>
          <w:highlight w:val="none"/>
          <w:shd w:val="clear" w:color="auto" w:fill="auto"/>
          <w:lang w:val="zh-CN"/>
        </w:rPr>
        <w:t>开标后，直至向中标的投标人授予合同时止，除按采购文件规定予以公开的评标结果外，凡与审查、澄清、评价和比较投标有关的资料以及授标意见等，均不得向投标人及与评标无关的其他人透露。</w:t>
      </w:r>
    </w:p>
    <w:p w14:paraId="16724C00">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18. 评标</w:t>
      </w:r>
    </w:p>
    <w:p w14:paraId="2EE3ED7C">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18.1 评标工作由采购人负责组织，具体评标工作由采购人依法组建的评标委员会负责。评标委员会的专家成员由专家库中随机抽取产生。需要设立评标委员会主任的，评标委员会主任由专家担任，由评标委员会成员选举产生，负责主持具体评标工作。评标委员会根据有关法律法规和采购文件规定的方法和标准独立评标，负责完成评标的全过程直至评定预中标人。</w:t>
      </w:r>
      <w:r>
        <w:rPr>
          <w:rFonts w:hint="eastAsia" w:ascii="宋体" w:hAnsi="宋体" w:eastAsia="宋体" w:cs="宋体"/>
          <w:color w:val="auto"/>
          <w:szCs w:val="21"/>
          <w:highlight w:val="none"/>
          <w:shd w:val="clear" w:color="auto" w:fill="auto"/>
          <w:lang w:val="en-US" w:eastAsia="zh-CN"/>
        </w:rPr>
        <w:t>采购代理机构</w:t>
      </w:r>
      <w:r>
        <w:rPr>
          <w:rFonts w:hint="eastAsia" w:ascii="宋体" w:hAnsi="宋体" w:eastAsia="宋体" w:cs="宋体"/>
          <w:color w:val="auto"/>
          <w:szCs w:val="21"/>
          <w:highlight w:val="none"/>
          <w:shd w:val="clear" w:color="auto" w:fill="auto"/>
          <w:lang w:val="zh-CN"/>
        </w:rPr>
        <w:t>只负责评标组织工作，不参加评标。</w:t>
      </w:r>
    </w:p>
    <w:p w14:paraId="5827F7C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18.2 审查是否所有投标人的报价均超过</w:t>
      </w:r>
      <w:r>
        <w:rPr>
          <w:rFonts w:hint="eastAsia" w:ascii="宋体" w:hAnsi="宋体" w:eastAsia="宋体" w:cs="宋体"/>
          <w:color w:val="auto"/>
          <w:szCs w:val="21"/>
          <w:highlight w:val="none"/>
          <w:shd w:val="clear" w:color="auto" w:fill="auto"/>
          <w:lang w:val="en-US" w:eastAsia="zh-CN"/>
        </w:rPr>
        <w:t>最高投标限价</w:t>
      </w:r>
      <w:r>
        <w:rPr>
          <w:rFonts w:hint="eastAsia" w:ascii="宋体" w:hAnsi="宋体" w:eastAsia="宋体" w:cs="宋体"/>
          <w:color w:val="auto"/>
          <w:szCs w:val="21"/>
          <w:highlight w:val="none"/>
          <w:shd w:val="clear" w:color="auto" w:fill="auto"/>
          <w:lang w:val="zh-CN"/>
        </w:rPr>
        <w:t>：根据《中华人民共和国政府采购法》的规定，所有投标人的报价均超过</w:t>
      </w:r>
      <w:r>
        <w:rPr>
          <w:rFonts w:hint="eastAsia" w:ascii="宋体" w:hAnsi="宋体" w:eastAsia="宋体" w:cs="宋体"/>
          <w:color w:val="auto"/>
          <w:szCs w:val="21"/>
          <w:highlight w:val="none"/>
          <w:shd w:val="clear" w:color="auto" w:fill="auto"/>
          <w:lang w:val="en-US" w:eastAsia="zh-CN"/>
        </w:rPr>
        <w:t>最高投标限价</w:t>
      </w:r>
      <w:r>
        <w:rPr>
          <w:rFonts w:hint="eastAsia" w:ascii="宋体" w:hAnsi="宋体" w:eastAsia="宋体" w:cs="宋体"/>
          <w:color w:val="auto"/>
          <w:szCs w:val="21"/>
          <w:highlight w:val="none"/>
          <w:shd w:val="clear" w:color="auto" w:fill="auto"/>
          <w:lang w:val="zh-CN"/>
        </w:rPr>
        <w:t>，采购人不能支付的，应予废标。</w:t>
      </w:r>
    </w:p>
    <w:p w14:paraId="183A88E9">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18.3 审查投标人是否存在串通投标行为：评标委员会发现投标人有下列情形之一的，将认定属于串通投标行为，相关投标人的投标应作废标处理。评标结束后，采购代理机构将以书面形式报告吉林省政府采购监督管理部门：</w:t>
      </w:r>
    </w:p>
    <w:p w14:paraId="2E282E6B">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（1）不同投标人的投标文件中错、漏之处相同的；</w:t>
      </w:r>
    </w:p>
    <w:p w14:paraId="7B18BFC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（2）不同投标人的投标文件相互混装的，或者相互加盖了对方公章的，或者相互出现了对方法定代表人或者授权代理人签名的，或者相互书写了对方名称的；</w:t>
      </w:r>
    </w:p>
    <w:p w14:paraId="31DD0A0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（3）一家投标人的投标文件中加盖了另一家投标人公章的；</w:t>
      </w:r>
    </w:p>
    <w:p w14:paraId="74E2959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（4）不同投标人的投标文件中，项目成员出现同一人的；</w:t>
      </w:r>
    </w:p>
    <w:p w14:paraId="2403580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（5）不同投标人的投标文件的制作非正常一致的；</w:t>
      </w:r>
    </w:p>
    <w:p w14:paraId="488B7DF5">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（6）不同投标人的投标文件中相关内容的段落、字句、售后服务电话、联系人姓名等非正常一致的；</w:t>
      </w:r>
    </w:p>
    <w:p w14:paraId="7D1518A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（7）一家投标人的投标文件中装订了标有另一家投标人名称的文件材料，或者出现了另一家法定代表人或者授予代理人签名的，其投标作废标处理；</w:t>
      </w:r>
    </w:p>
    <w:p w14:paraId="4EDD2BC7">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（8）不同投标人的投标文件由同一投标人或者同一个人编制的；</w:t>
      </w:r>
    </w:p>
    <w:p w14:paraId="591F420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（9）《关于禁止串通招标投标行为的暂行规定》（国家工商行政管理局令第82号）第三条规定的串通投标行为；</w:t>
      </w:r>
    </w:p>
    <w:p w14:paraId="71EAB90B">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（10）投标人串通投标的其他情形。</w:t>
      </w:r>
    </w:p>
    <w:p w14:paraId="3549E9E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18.4 对投标文件商务部分（投标人资格）进行审查：评标委员会将审查每个投标人提交的商务文件是否齐全完整，是否合法有效，是否有重大偏离和保留，是否符合采购文件要求。商务（投标人资格）审查不符合采购文件要求的投标文件将被拒绝。</w:t>
      </w:r>
    </w:p>
    <w:p w14:paraId="2017F71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18.5 对投标文件技术部分进行评审：</w:t>
      </w:r>
    </w:p>
    <w:p w14:paraId="0D0F721C">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18.5.1 对于商务审查合格的投标人，评标委员会将审查其投标文件技术部分是否对采购文件规定的事项、格式、条款和技术规格等要求都做出了实质性响应。</w:t>
      </w:r>
    </w:p>
    <w:p w14:paraId="7661ED7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18.5.2</w:t>
      </w:r>
      <w:r>
        <w:rPr>
          <w:rFonts w:hint="eastAsia" w:ascii="宋体" w:hAnsi="宋体" w:eastAsia="宋体" w:cs="宋体"/>
          <w:b/>
          <w:color w:val="auto"/>
          <w:szCs w:val="21"/>
          <w:highlight w:val="none"/>
          <w:shd w:val="clear" w:color="auto" w:fill="auto"/>
          <w:lang w:val="zh-CN"/>
        </w:rPr>
        <w:t xml:space="preserve"> </w:t>
      </w:r>
      <w:r>
        <w:rPr>
          <w:rFonts w:hint="eastAsia" w:ascii="宋体" w:hAnsi="宋体" w:eastAsia="宋体" w:cs="宋体"/>
          <w:color w:val="auto"/>
          <w:szCs w:val="21"/>
          <w:highlight w:val="none"/>
          <w:shd w:val="clear" w:color="auto" w:fill="auto"/>
          <w:lang w:val="zh-CN"/>
        </w:rPr>
        <w:t>实质性响应的投标是指与采购文件规定的事项、条款、条件和技术规格相符，没有重大偏离和保留。没有实质性响应采购文件要求的投标将被拒绝。</w:t>
      </w:r>
    </w:p>
    <w:p w14:paraId="2EE6AC6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18.6</w:t>
      </w:r>
      <w:r>
        <w:rPr>
          <w:rFonts w:hint="eastAsia" w:ascii="宋体" w:hAnsi="宋体" w:eastAsia="宋体" w:cs="宋体"/>
          <w:b/>
          <w:color w:val="auto"/>
          <w:szCs w:val="21"/>
          <w:highlight w:val="none"/>
          <w:shd w:val="clear" w:color="auto" w:fill="auto"/>
          <w:lang w:val="zh-CN"/>
        </w:rPr>
        <w:t xml:space="preserve"> </w:t>
      </w:r>
      <w:r>
        <w:rPr>
          <w:rFonts w:hint="eastAsia" w:ascii="宋体" w:hAnsi="宋体" w:eastAsia="宋体" w:cs="宋体"/>
          <w:color w:val="auto"/>
          <w:szCs w:val="21"/>
          <w:highlight w:val="none"/>
          <w:shd w:val="clear" w:color="auto" w:fill="auto"/>
          <w:lang w:val="zh-CN"/>
        </w:rPr>
        <w:t>重大偏离和保留是指实质上影响合同的供货范围、质量和性能，或者实质上限制了合同中采购人的权利或投标人的义务。投标文件有下列情形之一的属于重大偏离和保留，将作废标处理：</w:t>
      </w:r>
    </w:p>
    <w:p w14:paraId="15ABF3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（1）投标人未按采购文件规定提交所要求提交的全部文件或者提交的文件无效或者不符合采购文件的规定；</w:t>
      </w:r>
    </w:p>
    <w:p w14:paraId="6A2E407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（2）投标文件未按采购文件的规定有效签署和/或加盖公章；</w:t>
      </w:r>
    </w:p>
    <w:p w14:paraId="5DA1DFCB">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（3）投标文件载明的项目完成期限超过采购文件规定的期限；</w:t>
      </w:r>
    </w:p>
    <w:p w14:paraId="0C762064">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（4）投标文件明显不符合采购文件规定的技术规格、技术标准要求；</w:t>
      </w:r>
    </w:p>
    <w:p w14:paraId="7C1944D7">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（5）投标文件载明的货物包装方式、检验方法和标准等不符合采购文件要求；</w:t>
      </w:r>
    </w:p>
    <w:p w14:paraId="2C01AAB9">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（6）投标文件附有采购人不能接受的条件；</w:t>
      </w:r>
    </w:p>
    <w:p w14:paraId="21547FE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（7）不符合采购文件规定的其他实质性要求。</w:t>
      </w:r>
    </w:p>
    <w:p w14:paraId="0A8B342C">
      <w:pPr>
        <w:keepNext w:val="0"/>
        <w:keepLines w:val="0"/>
        <w:pageBreakBefore w:val="0"/>
        <w:kinsoku/>
        <w:wordWrap/>
        <w:overflowPunct/>
        <w:topLinePunct w:val="0"/>
        <w:bidi w:val="0"/>
        <w:snapToGrid w:val="0"/>
        <w:spacing w:line="312" w:lineRule="auto"/>
        <w:ind w:firstLine="420" w:firstLineChars="20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18.7 评标委员会将允许修正投标文件中不构成重大偏离的细微偏离，但这些修正应不会对实质上响应采购文件要求的投标人的竞争地位（相互排序）产生不公正的影响。</w:t>
      </w:r>
    </w:p>
    <w:p w14:paraId="31FAC13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18.8 评标委员会对投标文件的判定，只依据投标文件内容本身，不依据任何外来证明。</w:t>
      </w:r>
    </w:p>
    <w:p w14:paraId="022302F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18.9 投标报价的审查：评标委员会将对商务审查、技术审查合格的投标文件的报价进行审核，看其是否有计算和累加上的错误。修正错误的原则如下：投标报价以《开标一览表》的报价为准，《投标报价明细表》的报价与《开标一览表》的报价不一致的，投标人应按《开标一览表》的报价相应修改《投标报价明细表》的报价，并相应修改分项报价。按上述原则调整后的价格为评标价，经投标人法定代表人或授权代理人签字确认后对投标人具有约束力。如果投标人不按照上述原则修正其投标报价及分项报价，则其投标将被拒绝。</w:t>
      </w:r>
    </w:p>
    <w:p w14:paraId="73848CD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18.10 澄清：评标委员会对于投标文件实质性响应了采购文件要求，但在个别地方提供了不完整的技术信息和数据，以及同类问题表述不一致或者有明显文字和计算错误等细微偏离问题，将以书面形式（澄清细微偏离由评标委员会依据采购文件集体决定并由评标委员会专家签字）要求投标人在规定的时限内（在评标结束前）作出必要的澄清、说明或者补正。投标人的澄清、说明或者补正应当采用书面形式，由投标人法定代表人或其授权代理人签字（须提交签字人身份证件并与投标文件签字人一致），并不得超出投标文件的范围或者改变投标文件的实质性内容。投标人拒不进行澄清、说明、补正的，或者不能在规定时间内作出书面澄清、说明、补正的，评标委员会将拒绝其投标。</w:t>
      </w:r>
    </w:p>
    <w:p w14:paraId="1DD2057B">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rPr>
        <w:t xml:space="preserve">  </w:t>
      </w:r>
      <w:r>
        <w:rPr>
          <w:rFonts w:hint="eastAsia" w:ascii="宋体" w:hAnsi="宋体" w:eastAsia="宋体" w:cs="宋体"/>
          <w:color w:val="auto"/>
          <w:szCs w:val="21"/>
          <w:highlight w:val="none"/>
          <w:shd w:val="clear" w:color="auto" w:fill="auto"/>
        </w:rPr>
        <w:t xml:space="preserve">  接受细微偏离有利于采购成功，不应因细微偏离而废标。</w:t>
      </w:r>
    </w:p>
    <w:p w14:paraId="524DB5BC">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19.重新招标和采购方式变更</w:t>
      </w:r>
    </w:p>
    <w:p w14:paraId="63E61F7B">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首次招标因评标过程中出现符合专业条件的投标人或者对</w:t>
      </w:r>
      <w:r>
        <w:rPr>
          <w:rFonts w:hint="eastAsia" w:ascii="宋体" w:hAnsi="宋体" w:eastAsia="宋体" w:cs="宋体"/>
          <w:color w:val="auto"/>
          <w:szCs w:val="21"/>
          <w:highlight w:val="none"/>
          <w:shd w:val="clear" w:color="auto" w:fill="auto"/>
          <w:lang w:eastAsia="zh-CN"/>
        </w:rPr>
        <w:t>采购文件</w:t>
      </w:r>
      <w:r>
        <w:rPr>
          <w:rFonts w:hint="eastAsia" w:ascii="宋体" w:hAnsi="宋体" w:eastAsia="宋体" w:cs="宋体"/>
          <w:color w:val="auto"/>
          <w:szCs w:val="21"/>
          <w:highlight w:val="none"/>
          <w:shd w:val="clear" w:color="auto" w:fill="auto"/>
        </w:rPr>
        <w:t>作实质性响应的投标人不足三家情形而废标，重新招标仍然出现前述情形的，以及竞争性谈判、询价项目出现前述情形的，如果</w:t>
      </w:r>
      <w:r>
        <w:rPr>
          <w:rFonts w:hint="eastAsia" w:ascii="宋体" w:hAnsi="宋体" w:eastAsia="宋体" w:cs="宋体"/>
          <w:color w:val="auto"/>
          <w:szCs w:val="21"/>
          <w:highlight w:val="none"/>
          <w:shd w:val="clear" w:color="auto" w:fill="auto"/>
          <w:lang w:eastAsia="zh-CN"/>
        </w:rPr>
        <w:t>采购人</w:t>
      </w:r>
      <w:r>
        <w:rPr>
          <w:rFonts w:hint="eastAsia" w:ascii="宋体" w:hAnsi="宋体" w:eastAsia="宋体" w:cs="宋体"/>
          <w:color w:val="auto"/>
          <w:szCs w:val="21"/>
          <w:highlight w:val="none"/>
          <w:shd w:val="clear" w:color="auto" w:fill="auto"/>
        </w:rPr>
        <w:t>需求紧急需要直接变更方式采购，经</w:t>
      </w:r>
      <w:r>
        <w:rPr>
          <w:rFonts w:hint="eastAsia" w:ascii="宋体" w:hAnsi="宋体" w:eastAsia="宋体" w:cs="宋体"/>
          <w:color w:val="auto"/>
          <w:szCs w:val="21"/>
          <w:highlight w:val="none"/>
          <w:shd w:val="clear" w:color="auto" w:fill="auto"/>
          <w:lang w:eastAsia="zh-CN"/>
        </w:rPr>
        <w:t>采购人</w:t>
      </w:r>
      <w:r>
        <w:rPr>
          <w:rFonts w:hint="eastAsia" w:ascii="宋体" w:hAnsi="宋体" w:eastAsia="宋体" w:cs="宋体"/>
          <w:color w:val="auto"/>
          <w:szCs w:val="21"/>
          <w:highlight w:val="none"/>
          <w:shd w:val="clear" w:color="auto" w:fill="auto"/>
        </w:rPr>
        <w:t>代表现场提出，评标委员会专家成员同意，可以在评标专家、</w:t>
      </w:r>
      <w:r>
        <w:rPr>
          <w:rFonts w:hint="eastAsia" w:ascii="宋体" w:hAnsi="宋体" w:eastAsia="宋体" w:cs="宋体"/>
          <w:color w:val="auto"/>
          <w:szCs w:val="21"/>
          <w:highlight w:val="none"/>
          <w:shd w:val="clear" w:color="auto" w:fill="auto"/>
          <w:lang w:eastAsia="zh-CN"/>
        </w:rPr>
        <w:t>采购人</w:t>
      </w:r>
      <w:r>
        <w:rPr>
          <w:rFonts w:hint="eastAsia" w:ascii="宋体" w:hAnsi="宋体" w:eastAsia="宋体" w:cs="宋体"/>
          <w:color w:val="auto"/>
          <w:szCs w:val="21"/>
          <w:highlight w:val="none"/>
          <w:shd w:val="clear" w:color="auto" w:fill="auto"/>
        </w:rPr>
        <w:t>代表、投标供应商授权代表以及采购中心或者</w:t>
      </w:r>
      <w:r>
        <w:rPr>
          <w:rFonts w:hint="eastAsia" w:ascii="宋体" w:hAnsi="宋体" w:eastAsia="宋体" w:cs="宋体"/>
          <w:color w:val="auto"/>
          <w:szCs w:val="21"/>
          <w:highlight w:val="none"/>
          <w:shd w:val="clear" w:color="auto" w:fill="auto"/>
          <w:lang w:eastAsia="zh-CN"/>
        </w:rPr>
        <w:t>采购代理机构</w:t>
      </w:r>
      <w:r>
        <w:rPr>
          <w:rFonts w:hint="eastAsia" w:ascii="宋体" w:hAnsi="宋体" w:eastAsia="宋体" w:cs="宋体"/>
          <w:color w:val="auto"/>
          <w:szCs w:val="21"/>
          <w:highlight w:val="none"/>
          <w:shd w:val="clear" w:color="auto" w:fill="auto"/>
        </w:rPr>
        <w:t>工作人员同时在场的情况下需要变更采购方式继续采购，并按下述规定办理：</w:t>
      </w:r>
    </w:p>
    <w:p w14:paraId="2303739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采用</w:t>
      </w:r>
      <w:r>
        <w:rPr>
          <w:rFonts w:hint="eastAsia" w:ascii="宋体" w:hAnsi="宋体" w:eastAsia="宋体" w:cs="宋体"/>
          <w:color w:val="auto"/>
          <w:szCs w:val="21"/>
          <w:highlight w:val="none"/>
          <w:shd w:val="clear" w:color="auto" w:fill="auto"/>
          <w:lang w:eastAsia="zh-CN"/>
        </w:rPr>
        <w:t>采购方式</w:t>
      </w:r>
      <w:r>
        <w:rPr>
          <w:rFonts w:hint="eastAsia" w:ascii="宋体" w:hAnsi="宋体" w:eastAsia="宋体" w:cs="宋体"/>
          <w:color w:val="auto"/>
          <w:szCs w:val="21"/>
          <w:highlight w:val="none"/>
          <w:shd w:val="clear" w:color="auto" w:fill="auto"/>
        </w:rPr>
        <w:t>采购项目，重新招标出现前述情形的，如果招标过程中提交投标文件或者经评审实质性响应</w:t>
      </w:r>
      <w:r>
        <w:rPr>
          <w:rFonts w:hint="eastAsia" w:ascii="宋体" w:hAnsi="宋体" w:eastAsia="宋体" w:cs="宋体"/>
          <w:color w:val="auto"/>
          <w:szCs w:val="21"/>
          <w:highlight w:val="none"/>
          <w:shd w:val="clear" w:color="auto" w:fill="auto"/>
          <w:lang w:eastAsia="zh-CN"/>
        </w:rPr>
        <w:t>采购文件</w:t>
      </w:r>
      <w:r>
        <w:rPr>
          <w:rFonts w:hint="eastAsia" w:ascii="宋体" w:hAnsi="宋体" w:eastAsia="宋体" w:cs="宋体"/>
          <w:color w:val="auto"/>
          <w:szCs w:val="21"/>
          <w:highlight w:val="none"/>
          <w:shd w:val="clear" w:color="auto" w:fill="auto"/>
        </w:rPr>
        <w:t>要求的供应商只有两家时，经本级财政部门批准后可以与该两家供应商进行竞争性谈判采购。</w:t>
      </w:r>
    </w:p>
    <w:p w14:paraId="7677114D">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20. 评标方法和标准</w:t>
      </w:r>
    </w:p>
    <w:p w14:paraId="3D2A11F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20.1评标委员会将只对商务（投标人资格）审查和技术（符合性）审查均符合采购文件要求的投标进行详细评审。</w:t>
      </w:r>
    </w:p>
    <w:p w14:paraId="01C09BA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20.2 本项目采用</w:t>
      </w:r>
      <w:r>
        <w:rPr>
          <w:rFonts w:hint="eastAsia" w:ascii="宋体" w:hAnsi="宋体" w:eastAsia="宋体" w:cs="宋体"/>
          <w:color w:val="auto"/>
          <w:szCs w:val="21"/>
          <w:highlight w:val="none"/>
          <w:shd w:val="clear" w:color="auto" w:fill="auto"/>
          <w:lang w:val="en-US" w:eastAsia="zh-CN"/>
        </w:rPr>
        <w:t>最低评标价</w:t>
      </w:r>
      <w:r>
        <w:rPr>
          <w:rFonts w:hint="eastAsia" w:ascii="宋体" w:hAnsi="宋体" w:eastAsia="宋体" w:cs="宋体"/>
          <w:color w:val="auto"/>
          <w:szCs w:val="21"/>
          <w:highlight w:val="none"/>
          <w:shd w:val="clear" w:color="auto" w:fill="auto"/>
        </w:rPr>
        <w:t>法</w:t>
      </w:r>
    </w:p>
    <w:p w14:paraId="5E3FC8F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Cs/>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评标委员会将按下述标准评定预中标人：采用最低评标价法的，评标结果按投标报价由低到高顺序排列。投标报价相同的并列。投标文件满足招标文件全部实质性要求且投标报价最低的投标人为排名第一的中标候选人，但投标报价低于其成本的除外。经评审的</w:t>
      </w:r>
      <w:r>
        <w:rPr>
          <w:rFonts w:hint="eastAsia" w:ascii="宋体" w:hAnsi="宋体" w:eastAsia="宋体" w:cs="宋体"/>
          <w:color w:val="auto"/>
          <w:szCs w:val="21"/>
          <w:highlight w:val="none"/>
          <w:shd w:val="clear" w:color="auto" w:fill="auto"/>
          <w:lang w:val="zh-CN" w:eastAsia="zh-CN"/>
        </w:rPr>
        <w:t>评</w:t>
      </w:r>
      <w:r>
        <w:rPr>
          <w:rFonts w:hint="eastAsia" w:ascii="宋体" w:hAnsi="宋体" w:eastAsia="宋体" w:cs="宋体"/>
          <w:color w:val="auto"/>
          <w:szCs w:val="21"/>
          <w:highlight w:val="none"/>
          <w:shd w:val="clear" w:color="auto" w:fill="auto"/>
          <w:lang w:val="zh-CN"/>
        </w:rPr>
        <w:t>标价相等时，投标报价低的优先；</w:t>
      </w:r>
      <w:r>
        <w:rPr>
          <w:rFonts w:hint="eastAsia" w:ascii="宋体" w:hAnsi="宋体" w:eastAsia="宋体" w:cs="宋体"/>
          <w:color w:val="auto"/>
          <w:szCs w:val="21"/>
          <w:highlight w:val="none"/>
          <w:shd w:val="clear" w:color="auto" w:fill="auto"/>
          <w:lang w:val="zh-CN" w:eastAsia="zh-CN"/>
        </w:rPr>
        <w:t>投标报价也相等的，由评标委员会随机抽取确定</w:t>
      </w:r>
      <w:r>
        <w:rPr>
          <w:rFonts w:hint="eastAsia" w:ascii="宋体" w:hAnsi="宋体" w:eastAsia="宋体" w:cs="宋体"/>
          <w:color w:val="auto"/>
          <w:szCs w:val="21"/>
          <w:highlight w:val="none"/>
          <w:shd w:val="clear" w:color="auto" w:fill="auto"/>
          <w:lang w:val="zh-CN"/>
        </w:rPr>
        <w:t>。</w:t>
      </w:r>
    </w:p>
    <w:p w14:paraId="550B15C9">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21. 签订合同</w:t>
      </w:r>
    </w:p>
    <w:p w14:paraId="62AD637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采购人应当自中标通知书发出之日起三十日内，按照采购文件和中标人投标文件的约定，与中标人签订书面合同。所签订的合同不得对采购文件和中标人投标文件作实质性修改。采用电子化交易的，采购人、中标（成交）供应商应当严格按照采购文件和投标（响应）文件的规定事项 30 天内在电子交易系统中签订采购合同，并在规定时间内公告、备案采购合同。</w:t>
      </w:r>
    </w:p>
    <w:p w14:paraId="3A46436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2.采购人或者采购代理机构不得向中标人提出任何不合理的要求，作为签订合同的条件，不得与中标人私下订立背离合同实质性内容的协议。</w:t>
      </w:r>
    </w:p>
    <w:p w14:paraId="568E584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3.自政府采购合同签订之日起 2 个工作日内，采购人应将政府采购合同在省级以上人民政府财政部门指定的媒体上公告，但政府采购合同中涉及国家秘密、商业秘密的内容除外。</w:t>
      </w:r>
    </w:p>
    <w:p w14:paraId="0546122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4.政府采购合同签订之日起七个工作日内，采购人应将政府采购合同副本报政府采购监督管理部门备案和有关部门备案。</w:t>
      </w:r>
    </w:p>
    <w:p w14:paraId="71649EC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5.中标或者成交供应商拒绝与采购人签订合同的，采购人可以按照评审报告推荐的中标或者成交候选人名单排序，确定下一候选人为中标或者成交供应商，也可以重新开展政府采购活动。</w:t>
      </w:r>
    </w:p>
    <w:p w14:paraId="6EA62E40">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22.履约保证金:</w:t>
      </w:r>
      <w:r>
        <w:rPr>
          <w:rFonts w:hint="eastAsia" w:ascii="宋体" w:hAnsi="宋体" w:eastAsia="宋体" w:cs="宋体"/>
          <w:color w:val="auto"/>
          <w:szCs w:val="21"/>
          <w:highlight w:val="none"/>
          <w:shd w:val="clear" w:color="auto" w:fill="auto"/>
          <w:lang w:val="zh-CN"/>
        </w:rPr>
        <w:t>详见采购文件要求。</w:t>
      </w:r>
    </w:p>
    <w:p w14:paraId="462FE1FD">
      <w:pPr>
        <w:keepNext w:val="0"/>
        <w:keepLines w:val="0"/>
        <w:pageBreakBefore w:val="0"/>
        <w:tabs>
          <w:tab w:val="left" w:pos="709"/>
          <w:tab w:val="left" w:pos="927"/>
        </w:tabs>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kern w:val="0"/>
          <w:szCs w:val="21"/>
          <w:highlight w:val="none"/>
          <w:shd w:val="clear" w:color="auto" w:fill="auto"/>
          <w:lang w:val="zh-CN"/>
        </w:rPr>
      </w:pPr>
      <w:r>
        <w:rPr>
          <w:rFonts w:hint="eastAsia" w:ascii="宋体" w:hAnsi="宋体" w:eastAsia="宋体" w:cs="宋体"/>
          <w:b/>
          <w:color w:val="auto"/>
          <w:kern w:val="0"/>
          <w:szCs w:val="21"/>
          <w:highlight w:val="none"/>
          <w:shd w:val="clear" w:color="auto" w:fill="auto"/>
          <w:lang w:val="zh-CN"/>
        </w:rPr>
        <w:t>23.保密和披露</w:t>
      </w:r>
    </w:p>
    <w:p w14:paraId="10C9FC5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kern w:val="0"/>
          <w:szCs w:val="21"/>
          <w:highlight w:val="none"/>
          <w:shd w:val="clear" w:color="auto" w:fill="auto"/>
          <w:lang w:val="zh-CN"/>
        </w:rPr>
      </w:pPr>
      <w:r>
        <w:rPr>
          <w:rFonts w:hint="eastAsia" w:ascii="宋体" w:hAnsi="宋体" w:eastAsia="宋体" w:cs="宋体"/>
          <w:color w:val="auto"/>
          <w:kern w:val="0"/>
          <w:szCs w:val="21"/>
          <w:highlight w:val="none"/>
          <w:shd w:val="clear" w:color="auto" w:fill="auto"/>
          <w:lang w:val="zh-CN"/>
        </w:rPr>
        <w:t>23.1</w:t>
      </w:r>
      <w:r>
        <w:rPr>
          <w:rFonts w:hint="eastAsia" w:ascii="宋体" w:hAnsi="宋体" w:eastAsia="宋体" w:cs="宋体"/>
          <w:color w:val="auto"/>
          <w:szCs w:val="21"/>
          <w:highlight w:val="none"/>
          <w:shd w:val="clear" w:color="auto" w:fill="auto"/>
          <w:lang w:val="zh-CN"/>
        </w:rPr>
        <w:t>采购人有权将投标人提供的所有资料向其他政府部门或有关的非政府机构负责评审标书的人员或与评标有关的人员披露。</w:t>
      </w:r>
    </w:p>
    <w:p w14:paraId="5E2B9851">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23.2在下列情形下：当发布中标公告和其它公告时，当国家机关调查、审查、审计时，以及在其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1E36F265">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zh-CN"/>
        </w:rPr>
        <w:t>24.招标代理服务费</w:t>
      </w:r>
    </w:p>
    <w:p w14:paraId="693E2621">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中标人应按照采购文件投标人须知前附表中的规定缴纳采购代理服务费。</w:t>
      </w:r>
    </w:p>
    <w:p w14:paraId="04C53B74">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color w:val="auto"/>
          <w:szCs w:val="21"/>
          <w:highlight w:val="none"/>
          <w:shd w:val="clear" w:color="auto" w:fill="auto"/>
          <w:lang w:val="zh-CN"/>
        </w:rPr>
      </w:pPr>
      <w:r>
        <w:rPr>
          <w:rFonts w:hint="eastAsia" w:ascii="宋体" w:hAnsi="宋体" w:eastAsia="宋体" w:cs="宋体"/>
          <w:b/>
          <w:color w:val="auto"/>
          <w:szCs w:val="21"/>
          <w:highlight w:val="none"/>
          <w:shd w:val="clear" w:color="auto" w:fill="auto"/>
          <w:lang w:val="en-US" w:eastAsia="zh-CN"/>
        </w:rPr>
        <w:t xml:space="preserve">25.询问、质疑与投诉 </w:t>
      </w:r>
    </w:p>
    <w:p w14:paraId="32687ADD">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（一）询问 </w:t>
      </w:r>
    </w:p>
    <w:p w14:paraId="6EAD0DD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1.供应商对政府采购活动事项有疑问的，可以向采购人或者采购代理机构提出询问，询问可以口头方式提出，也可以书面方式提出。 </w:t>
      </w:r>
    </w:p>
    <w:p w14:paraId="1849CAAF">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2.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 </w:t>
      </w:r>
    </w:p>
    <w:p w14:paraId="21109BD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3.采购人或者采购代理机构在三个工作日内对供应商依法提出的询问作出答复。 </w:t>
      </w:r>
    </w:p>
    <w:p w14:paraId="09F0CCD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4.采购人或采购代理机构接收以书面形式递交的询问函，接收询问函的联系人、联系方式和通讯地址详见投标人须知前附表。 </w:t>
      </w:r>
    </w:p>
    <w:p w14:paraId="24AB432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（二）质疑 </w:t>
      </w:r>
    </w:p>
    <w:p w14:paraId="34EBD73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1.质疑期限： </w:t>
      </w:r>
    </w:p>
    <w:p w14:paraId="69440CD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（1）供应商认为采购文件的内容损害其权益的，应在收到采购文件之日或者采购文件公告期届满之日起七个工作日内。 </w:t>
      </w:r>
    </w:p>
    <w:p w14:paraId="2920575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（2）供应商购买采购文件之日早于采购文件公告期限届满之日的，则以供应商购买采购文件之日为质疑时效期间的起算日期；否则，以采购文件公告期限届满之日为质疑时效期间的起算日期。 </w:t>
      </w:r>
    </w:p>
    <w:p w14:paraId="36329BF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（3）供应商认为采购过程损害其权益的，应在各采购程序环节结束之日起七个工作日内。 </w:t>
      </w:r>
    </w:p>
    <w:p w14:paraId="65213D7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（4）供应商认为中标或者成交结果损害其权益的，应在中标或者成交结果公告期限届满之日起七个工作日内。 </w:t>
      </w:r>
    </w:p>
    <w:p w14:paraId="5516E6D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2.提交要求： </w:t>
      </w:r>
    </w:p>
    <w:p w14:paraId="6906C83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（1）以书面纸质质疑函原件（不包括电报、电传、传真、电子数据交换和电子邮件等形式提出的质疑函）向采购人或者采购代理机构一次性提出针对同一采购程序环节的质疑。 </w:t>
      </w:r>
    </w:p>
    <w:p w14:paraId="4BE4CC1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（2）以联合体形式参加政府采购活动的，其质疑应当由组成联合体的所有供应商共同提出。 </w:t>
      </w:r>
    </w:p>
    <w:p w14:paraId="1A8511C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（3）质疑函应当包括下列内容： </w:t>
      </w:r>
    </w:p>
    <w:p w14:paraId="43B6BA2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1）供应商的姓名或者名称、地址、邮编、联系人及联系电话； </w:t>
      </w:r>
    </w:p>
    <w:p w14:paraId="30C2BA7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2）质疑项目的名称及编号； </w:t>
      </w:r>
    </w:p>
    <w:p w14:paraId="3ACF656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3）具体、明确的质疑事项和与质疑事项相关的请求； </w:t>
      </w:r>
    </w:p>
    <w:p w14:paraId="27EC6AE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4）事实依据； </w:t>
      </w:r>
    </w:p>
    <w:p w14:paraId="2624685D">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5）必要的法律依据； </w:t>
      </w:r>
    </w:p>
    <w:p w14:paraId="5AFF068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6）提出质疑的日期。 </w:t>
      </w:r>
    </w:p>
    <w:p w14:paraId="28C7A87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4）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 </w:t>
      </w:r>
    </w:p>
    <w:p w14:paraId="7BC6081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3.供应商捏造事实、提供虚假材料或者以非法手段取得证明材料不能作为质疑的证明材料。 </w:t>
      </w:r>
    </w:p>
    <w:p w14:paraId="64260481">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4.采购人或者采购代理机构在收到投标人的书面质疑后 7 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 </w:t>
      </w:r>
    </w:p>
    <w:p w14:paraId="3344AE1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5.采购人或采购代理机构接收以书面形式递交的质疑函，接收质疑函的联系人、联系方式和通讯地址详见投标人须知前附表。 </w:t>
      </w:r>
    </w:p>
    <w:p w14:paraId="31F356D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6.具体询问、质疑函的格式详见本须知附件。 </w:t>
      </w:r>
    </w:p>
    <w:p w14:paraId="6B6FE5E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（三）投诉 </w:t>
      </w:r>
    </w:p>
    <w:p w14:paraId="0D6FB2E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1.质疑供应商对采购人或者采购代理机构的质疑答复不满意，或采购人或者采 </w:t>
      </w:r>
    </w:p>
    <w:p w14:paraId="6433941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购代理机构未在规定期限内作出答复的，可以在答复期满后十五个工作日内向 </w:t>
      </w:r>
    </w:p>
    <w:p w14:paraId="70BFB0D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政府采购监督管理部门提出投诉。 </w:t>
      </w:r>
    </w:p>
    <w:p w14:paraId="228373F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color w:val="auto"/>
          <w:szCs w:val="21"/>
          <w:highlight w:val="none"/>
          <w:shd w:val="clear" w:color="auto" w:fill="auto"/>
          <w:lang w:val="zh-CN" w:eastAsia="zh-CN"/>
        </w:rPr>
      </w:pPr>
      <w:r>
        <w:rPr>
          <w:rFonts w:hint="eastAsia" w:ascii="宋体" w:hAnsi="宋体" w:eastAsia="宋体" w:cs="宋体"/>
          <w:b/>
          <w:color w:val="auto"/>
          <w:szCs w:val="21"/>
          <w:highlight w:val="none"/>
          <w:shd w:val="clear" w:color="auto" w:fill="auto"/>
          <w:lang w:val="en-US" w:eastAsia="zh-CN"/>
        </w:rPr>
        <w:t xml:space="preserve">26.其他说明事项 </w:t>
      </w:r>
    </w:p>
    <w:p w14:paraId="40BC8621">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1.政采云平台如对电子化开标及评审程序有调整的，按调整后的程序操作。 </w:t>
      </w:r>
    </w:p>
    <w:p w14:paraId="36A59A3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en-US" w:eastAsia="zh-CN"/>
        </w:rPr>
        <w:t xml:space="preserve">2.采购代理机构将按照采购文件规定的时间、地点和程序组织开标，各投标人授权代表及相关人员均应当准时在线参加，无关人员不得进入。投标人如未准时在线参加的，事后不得对采购相关人员、开标过程和开标结果提出异议。 </w:t>
      </w:r>
    </w:p>
    <w:p w14:paraId="33E008E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color w:val="auto"/>
          <w:szCs w:val="21"/>
          <w:highlight w:val="none"/>
          <w:shd w:val="clear" w:color="auto" w:fill="auto"/>
          <w:lang w:val="zh-CN" w:eastAsia="zh-CN"/>
        </w:rPr>
      </w:pPr>
      <w:r>
        <w:rPr>
          <w:rFonts w:hint="eastAsia" w:ascii="宋体" w:hAnsi="宋体" w:eastAsia="宋体" w:cs="宋体"/>
          <w:color w:val="auto"/>
          <w:szCs w:val="21"/>
          <w:highlight w:val="none"/>
          <w:shd w:val="clear" w:color="auto" w:fill="auto"/>
          <w:lang w:val="en-US" w:eastAsia="zh-CN"/>
        </w:rPr>
        <w:t>3.投标截止时，电子交易平台自动提取所有电子投标文件。采购代理机构点击[开始解密]按钮后，投标人可以在线解密，解密时限为 30 分钟。</w:t>
      </w:r>
    </w:p>
    <w:p w14:paraId="095E7958">
      <w:pPr>
        <w:autoSpaceDE w:val="0"/>
        <w:autoSpaceDN w:val="0"/>
        <w:adjustRightInd w:val="0"/>
        <w:snapToGrid w:val="0"/>
        <w:spacing w:line="460" w:lineRule="exact"/>
        <w:ind w:firstLine="476"/>
        <w:rPr>
          <w:rFonts w:hint="eastAsia" w:ascii="宋体" w:hAnsi="宋体" w:eastAsia="宋体" w:cs="宋体"/>
          <w:color w:val="auto"/>
          <w:szCs w:val="21"/>
          <w:highlight w:val="none"/>
          <w:lang w:val="zh-CN"/>
        </w:rPr>
      </w:pPr>
    </w:p>
    <w:p w14:paraId="674E90F6">
      <w:pPr>
        <w:pStyle w:val="2"/>
        <w:bidi w:val="0"/>
        <w:jc w:val="center"/>
        <w:rPr>
          <w:rFonts w:hint="eastAsia"/>
          <w:color w:val="auto"/>
          <w:sz w:val="36"/>
          <w:szCs w:val="36"/>
          <w:lang w:val="zh-CN"/>
        </w:rPr>
        <w:sectPr>
          <w:footerReference r:id="rId10" w:type="first"/>
          <w:footerReference r:id="rId9" w:type="default"/>
          <w:pgSz w:w="11906" w:h="16838"/>
          <w:pgMar w:top="1814" w:right="1361" w:bottom="1701" w:left="1440" w:header="850" w:footer="992" w:gutter="0"/>
          <w:pgNumType w:fmt="decimal"/>
          <w:cols w:space="720" w:num="1"/>
          <w:titlePg/>
          <w:rtlGutter w:val="0"/>
          <w:docGrid w:type="lines" w:linePitch="317" w:charSpace="0"/>
        </w:sectPr>
      </w:pPr>
      <w:bookmarkStart w:id="5" w:name="_Toc460776564"/>
    </w:p>
    <w:p w14:paraId="72801188">
      <w:pPr>
        <w:pStyle w:val="2"/>
        <w:bidi w:val="0"/>
        <w:jc w:val="center"/>
        <w:rPr>
          <w:rFonts w:hint="eastAsia" w:ascii="宋体" w:hAnsi="宋体" w:eastAsia="宋体" w:cs="宋体"/>
          <w:color w:val="auto"/>
          <w:highlight w:val="none"/>
        </w:rPr>
      </w:pPr>
      <w:bookmarkStart w:id="6" w:name="_Toc31275"/>
      <w:r>
        <w:rPr>
          <w:rFonts w:hint="eastAsia"/>
          <w:color w:val="auto"/>
          <w:sz w:val="36"/>
          <w:szCs w:val="36"/>
          <w:lang w:val="zh-CN"/>
        </w:rPr>
        <w:t>第三章</w:t>
      </w:r>
      <w:bookmarkStart w:id="7" w:name="_Toc238185763"/>
      <w:r>
        <w:rPr>
          <w:rFonts w:hint="eastAsia"/>
          <w:color w:val="auto"/>
          <w:sz w:val="36"/>
          <w:szCs w:val="36"/>
          <w:lang w:val="zh-CN"/>
        </w:rPr>
        <w:t xml:space="preserve"> 评标标准和方法</w:t>
      </w:r>
      <w:bookmarkEnd w:id="5"/>
      <w:bookmarkEnd w:id="6"/>
    </w:p>
    <w:p w14:paraId="242F3085">
      <w:pPr>
        <w:snapToGrid w:val="0"/>
        <w:jc w:val="center"/>
        <w:rPr>
          <w:rFonts w:hint="eastAsia" w:ascii="宋体" w:hAnsi="宋体" w:eastAsia="宋体" w:cs="宋体"/>
          <w:b/>
          <w:iCs/>
          <w:color w:val="auto"/>
          <w:sz w:val="32"/>
          <w:szCs w:val="32"/>
          <w:highlight w:val="none"/>
          <w:lang w:val="en-GB"/>
        </w:rPr>
      </w:pPr>
      <w:r>
        <w:rPr>
          <w:rFonts w:hint="eastAsia" w:ascii="宋体" w:hAnsi="宋体" w:eastAsia="宋体" w:cs="宋体"/>
          <w:b/>
          <w:iCs/>
          <w:color w:val="auto"/>
          <w:sz w:val="32"/>
          <w:szCs w:val="32"/>
          <w:highlight w:val="none"/>
          <w:lang w:val="en-GB"/>
        </w:rPr>
        <w:t>评标办法</w:t>
      </w:r>
    </w:p>
    <w:p w14:paraId="078061F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按照《中华人民共和国政府采购法》、《中华人民共和国政府采购法实施条例》和国家有关部委的相关规定，遵循公开、公平、公正和诚实信用的原则，</w:t>
      </w:r>
      <w:r>
        <w:rPr>
          <w:rFonts w:hint="eastAsia" w:ascii="宋体" w:hAnsi="宋体" w:eastAsia="宋体" w:cs="宋体"/>
          <w:color w:val="auto"/>
          <w:szCs w:val="21"/>
          <w:highlight w:val="none"/>
          <w:lang w:eastAsia="zh-CN"/>
        </w:rPr>
        <w:t>结合本项目</w:t>
      </w:r>
      <w:r>
        <w:rPr>
          <w:rFonts w:hint="eastAsia" w:ascii="宋体" w:hAnsi="宋体" w:eastAsia="宋体" w:cs="宋体"/>
          <w:color w:val="auto"/>
          <w:szCs w:val="21"/>
          <w:highlight w:val="none"/>
        </w:rPr>
        <w:t>的实际情况，制定本评标办法。</w:t>
      </w:r>
    </w:p>
    <w:p w14:paraId="5EBCA85B">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一、组成评标委员会</w:t>
      </w:r>
    </w:p>
    <w:p w14:paraId="2DC93A0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按照国家有关部委的相关规定，评标委员会由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代表和有关技术、经济等方面的专家组成。其中</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代表1人，评标专家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人。为保证评标工作的顺利进行，在评委会成员中推举1名评委担任评委会主任，负责评标全面工作。</w:t>
      </w:r>
    </w:p>
    <w:p w14:paraId="3205236C">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二、评标过程的监督</w:t>
      </w:r>
    </w:p>
    <w:p w14:paraId="73EC490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对本次评标全过程进行现场监督。评标开始时，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首先向评委会及有关工作人员宣读在评标期间的纪律要求；同时，在评标过程中对评审、推荐中标候选人、提交评标报告等各阶段步骤进行现场监督；评标结束时，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对评标全过程做评标监督结论。</w:t>
      </w:r>
    </w:p>
    <w:p w14:paraId="5A4CC342">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三、评标工作</w:t>
      </w:r>
    </w:p>
    <w:p w14:paraId="58EAC54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评标本着客观公正、公平竞争、择优推荐、规范合法的原则进行。评标工作分为初步评审、澄清、详细评审。</w:t>
      </w:r>
    </w:p>
    <w:p w14:paraId="273FA24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3.1初步评审</w:t>
      </w:r>
    </w:p>
    <w:p w14:paraId="07D065C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3.1.1资格性检查。依据法律法规和</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的规定，对投标文件中的资格证明、投标保证金等进行审查，以确定投标供应商是否具备投标资格。</w:t>
      </w:r>
    </w:p>
    <w:p w14:paraId="3B5F9AD3">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3.1.2符合性检查。依据</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的规定，从投标文件的有效性、完整性和对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的响应程度进行审查，以确定是否对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的实质性要求做出响应。</w:t>
      </w:r>
    </w:p>
    <w:p w14:paraId="65F3DA9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3.2澄清（必要时）</w:t>
      </w:r>
    </w:p>
    <w:p w14:paraId="6D4B7CC6">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17D9BBF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3.3详细评审</w:t>
      </w:r>
    </w:p>
    <w:p w14:paraId="3E84F03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对资格性检查和符合性检查合格的投标文件</w:t>
      </w:r>
      <w:r>
        <w:rPr>
          <w:rFonts w:hint="eastAsia" w:ascii="宋体" w:hAnsi="宋体" w:eastAsia="宋体" w:cs="宋体"/>
          <w:color w:val="auto"/>
          <w:szCs w:val="21"/>
          <w:highlight w:val="none"/>
          <w:lang w:val="en-US" w:eastAsia="zh-CN"/>
        </w:rPr>
        <w:t>进行价格</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w:t>
      </w:r>
    </w:p>
    <w:p w14:paraId="7E7A7BD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3.4其他评审标准：</w:t>
      </w:r>
    </w:p>
    <w:p w14:paraId="65C2961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3.4.1同一品牌产品的审查：</w:t>
      </w:r>
    </w:p>
    <w:p w14:paraId="254BDF9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3.4.1.1．单一产品采购项目。如果有多家供应商投标同一品牌产品的，应当作为一个供应商计算，当供应商不足三家的，采购项目废标。</w:t>
      </w:r>
    </w:p>
    <w:p w14:paraId="3F24FDE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3.4.1.2．非单一产品采购项目。以核心产品为标准计算同一品牌供应商家数，即核心产品报价同一品牌产品，多家供应商应当作为一个供应商计算。</w:t>
      </w:r>
    </w:p>
    <w:p w14:paraId="6F1A41E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3.4.1.3．提供相同品牌产品且通过初步评审、详细评审的不同投标人参加同一合同项下投标的，按一家投标人计算，评审后评标价格最低的同品牌投标人获得中标人推荐资格，其他同品牌投标人不作为中标候选人。</w:t>
      </w:r>
    </w:p>
    <w:p w14:paraId="257A85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3.5推荐中标候选人</w:t>
      </w:r>
    </w:p>
    <w:p w14:paraId="69FC9C67">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评标委员会根据</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中的评标办法，对投标文件进行</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w:t>
      </w:r>
      <w:r>
        <w:rPr>
          <w:rFonts w:hint="eastAsia" w:ascii="宋体" w:hAnsi="宋体" w:eastAsia="宋体" w:cs="宋体"/>
          <w:b w:val="0"/>
          <w:bCs/>
          <w:color w:val="auto"/>
          <w:szCs w:val="21"/>
          <w:highlight w:val="none"/>
        </w:rPr>
        <w:t>按照经评审的</w:t>
      </w:r>
      <w:r>
        <w:rPr>
          <w:rFonts w:hint="eastAsia" w:ascii="宋体" w:hAnsi="宋体" w:eastAsia="宋体" w:cs="宋体"/>
          <w:b w:val="0"/>
          <w:bCs/>
          <w:color w:val="auto"/>
          <w:szCs w:val="21"/>
          <w:highlight w:val="none"/>
          <w:lang w:eastAsia="zh-CN"/>
        </w:rPr>
        <w:t>评</w:t>
      </w:r>
      <w:r>
        <w:rPr>
          <w:rFonts w:hint="eastAsia" w:ascii="宋体" w:hAnsi="宋体" w:eastAsia="宋体" w:cs="宋体"/>
          <w:b w:val="0"/>
          <w:bCs/>
          <w:color w:val="auto"/>
          <w:szCs w:val="21"/>
          <w:highlight w:val="none"/>
        </w:rPr>
        <w:t>标价由低到高的顺序推荐中标候选人，或根据</w:t>
      </w:r>
      <w:r>
        <w:rPr>
          <w:rFonts w:hint="eastAsia" w:ascii="宋体" w:hAnsi="宋体" w:eastAsia="宋体" w:cs="宋体"/>
          <w:b w:val="0"/>
          <w:bCs/>
          <w:color w:val="auto"/>
          <w:szCs w:val="21"/>
          <w:highlight w:val="none"/>
          <w:lang w:eastAsia="zh-CN"/>
        </w:rPr>
        <w:t>采购人</w:t>
      </w:r>
      <w:r>
        <w:rPr>
          <w:rFonts w:hint="eastAsia" w:ascii="宋体" w:hAnsi="宋体" w:eastAsia="宋体" w:cs="宋体"/>
          <w:b w:val="0"/>
          <w:bCs/>
          <w:color w:val="auto"/>
          <w:szCs w:val="21"/>
          <w:highlight w:val="none"/>
        </w:rPr>
        <w:t>授权直接确定中标人，但投标报价低于其成本的除外。经评审的</w:t>
      </w:r>
      <w:r>
        <w:rPr>
          <w:rFonts w:hint="eastAsia" w:ascii="宋体" w:hAnsi="宋体" w:eastAsia="宋体" w:cs="宋体"/>
          <w:b w:val="0"/>
          <w:bCs/>
          <w:color w:val="auto"/>
          <w:szCs w:val="21"/>
          <w:highlight w:val="none"/>
          <w:lang w:eastAsia="zh-CN"/>
        </w:rPr>
        <w:t>评</w:t>
      </w:r>
      <w:r>
        <w:rPr>
          <w:rFonts w:hint="eastAsia" w:ascii="宋体" w:hAnsi="宋体" w:eastAsia="宋体" w:cs="宋体"/>
          <w:b w:val="0"/>
          <w:bCs/>
          <w:color w:val="auto"/>
          <w:szCs w:val="21"/>
          <w:highlight w:val="none"/>
        </w:rPr>
        <w:t>标价相等时，投标报价低的优先；</w:t>
      </w:r>
      <w:r>
        <w:rPr>
          <w:rFonts w:hint="eastAsia" w:ascii="宋体" w:hAnsi="宋体" w:eastAsia="宋体" w:cs="宋体"/>
          <w:b w:val="0"/>
          <w:bCs/>
          <w:color w:val="auto"/>
          <w:szCs w:val="21"/>
          <w:highlight w:val="none"/>
          <w:lang w:eastAsia="zh-CN"/>
        </w:rPr>
        <w:t>投标报价也相等的，由评标委员会随机抽取确定</w:t>
      </w:r>
      <w:r>
        <w:rPr>
          <w:rFonts w:hint="eastAsia" w:ascii="宋体" w:hAnsi="宋体" w:eastAsia="宋体" w:cs="宋体"/>
          <w:b w:val="0"/>
          <w:bCs/>
          <w:color w:val="auto"/>
          <w:szCs w:val="21"/>
          <w:highlight w:val="none"/>
        </w:rPr>
        <w:t>。</w:t>
      </w:r>
    </w:p>
    <w:p w14:paraId="25FC5ABD">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3.6评标报告</w:t>
      </w:r>
    </w:p>
    <w:p w14:paraId="1E2D1C3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评标工作结束时，评委会将本项目评审结果向采购人提交书面“评标报告”，各评委对评标报告内容讨论通过后，在“评标报告”上签字，对评标结果予以确认。</w:t>
      </w:r>
    </w:p>
    <w:p w14:paraId="08755BBC">
      <w:pPr>
        <w:pStyle w:val="72"/>
        <w:tabs>
          <w:tab w:val="left" w:pos="600"/>
        </w:tabs>
        <w:spacing w:line="440" w:lineRule="exact"/>
        <w:ind w:left="420"/>
        <w:rPr>
          <w:rFonts w:hint="eastAsia" w:ascii="宋体" w:hAnsi="宋体" w:eastAsia="宋体" w:cs="宋体"/>
          <w:b/>
          <w:color w:val="auto"/>
          <w:szCs w:val="21"/>
          <w:highlight w:val="none"/>
        </w:rPr>
      </w:pPr>
      <w:bookmarkStart w:id="8" w:name="_Toc217446104"/>
      <w:bookmarkStart w:id="9" w:name="_Toc183682422"/>
      <w:bookmarkStart w:id="10" w:name="_Toc183582287"/>
      <w:r>
        <w:rPr>
          <w:rFonts w:hint="eastAsia" w:ascii="宋体" w:hAnsi="宋体" w:eastAsia="宋体" w:cs="宋体"/>
          <w:b/>
          <w:color w:val="auto"/>
          <w:szCs w:val="21"/>
          <w:highlight w:val="none"/>
        </w:rPr>
        <w:t>四、计算错误的修改</w:t>
      </w:r>
    </w:p>
    <w:bookmarkEnd w:id="8"/>
    <w:bookmarkEnd w:id="9"/>
    <w:bookmarkEnd w:id="10"/>
    <w:p w14:paraId="5CAB44A0">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投标文件中如果出现计算上或累加上的算术错误，可按以下原则进行修改：</w:t>
      </w:r>
    </w:p>
    <w:p w14:paraId="5F9221B3">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4.1.1用数字表示的金额和用文字表示的金额不一致，应以文字表示的金额为准。</w:t>
      </w:r>
    </w:p>
    <w:p w14:paraId="51FF4DCA">
      <w:pPr>
        <w:widowControl/>
        <w:autoSpaceDE w:val="0"/>
        <w:autoSpaceDN w:val="0"/>
        <w:spacing w:line="4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4.1.2单价和数量的乘积与总价不一致时，以单价为准，并修正总价。</w:t>
      </w:r>
    </w:p>
    <w:p w14:paraId="1E350758">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4.1.3单价金额小数点有明显错误的，以总价为准，修正单价。</w:t>
      </w:r>
    </w:p>
    <w:p w14:paraId="12667EDD">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按上述修正错误的方法调整的投标报价应对投标人具有约束力。如果投标人不接受修正后的价格，其投标将被拒绝。</w:t>
      </w:r>
    </w:p>
    <w:p w14:paraId="5BF11BEB">
      <w:pPr>
        <w:widowControl/>
        <w:autoSpaceDE w:val="0"/>
        <w:autoSpaceDN w:val="0"/>
        <w:spacing w:line="440" w:lineRule="exact"/>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五、废 标</w:t>
      </w:r>
    </w:p>
    <w:p w14:paraId="2C6B948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本次政府采购活动中，出现下列情形之一的，予以废标：</w:t>
      </w:r>
    </w:p>
    <w:p w14:paraId="3F06AF3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5.1符合专业条件的供应商或者对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作实质响应的供应商不足三家的；</w:t>
      </w:r>
    </w:p>
    <w:p w14:paraId="13D1489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5.2出现影响采购公正的违法、违规行为的；</w:t>
      </w:r>
    </w:p>
    <w:p w14:paraId="1A3C63C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5.3投标人的报价均超过了采购预算，采购人不能支付的；</w:t>
      </w:r>
    </w:p>
    <w:p w14:paraId="10C07D4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5.4因重大变故，采购任务取消的。</w:t>
      </w:r>
    </w:p>
    <w:p w14:paraId="7D40263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废标后，采购代理机构应在</w:t>
      </w:r>
      <w:r>
        <w:rPr>
          <w:rFonts w:hint="eastAsia" w:ascii="宋体" w:hAnsi="宋体" w:eastAsia="宋体" w:cs="宋体"/>
          <w:bCs/>
          <w:color w:val="auto"/>
          <w:szCs w:val="21"/>
          <w:highlight w:val="none"/>
          <w:lang w:val="en-US" w:eastAsia="zh-CN"/>
        </w:rPr>
        <w:t>发布公告同意网站发布</w:t>
      </w:r>
      <w:r>
        <w:rPr>
          <w:rFonts w:hint="eastAsia" w:ascii="宋体" w:hAnsi="宋体" w:eastAsia="宋体" w:cs="宋体"/>
          <w:color w:val="auto"/>
          <w:szCs w:val="21"/>
          <w:highlight w:val="none"/>
        </w:rPr>
        <w:t>公告，并公告废标理由。</w:t>
      </w:r>
    </w:p>
    <w:p w14:paraId="0D615127">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六、定标</w:t>
      </w:r>
    </w:p>
    <w:p w14:paraId="3435C1E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6.1定标原则：本项目根据评委会推荐的中标候选人名单，按顺序确定中标人。</w:t>
      </w:r>
    </w:p>
    <w:p w14:paraId="6381028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定标程序</w:t>
      </w:r>
    </w:p>
    <w:p w14:paraId="60D2DD4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 评委会将评标情况写出书面报告，推荐中标候选人，并</w:t>
      </w:r>
      <w:r>
        <w:rPr>
          <w:rFonts w:hint="eastAsia" w:ascii="宋体" w:hAnsi="宋体" w:eastAsia="宋体" w:cs="宋体"/>
          <w:b w:val="0"/>
          <w:bCs/>
          <w:color w:val="auto"/>
          <w:szCs w:val="21"/>
          <w:highlight w:val="none"/>
        </w:rPr>
        <w:t>按照经评审的</w:t>
      </w:r>
      <w:r>
        <w:rPr>
          <w:rFonts w:hint="eastAsia" w:ascii="宋体" w:hAnsi="宋体" w:eastAsia="宋体" w:cs="宋体"/>
          <w:b w:val="0"/>
          <w:bCs/>
          <w:color w:val="auto"/>
          <w:szCs w:val="21"/>
          <w:highlight w:val="none"/>
          <w:lang w:eastAsia="zh-CN"/>
        </w:rPr>
        <w:t>评</w:t>
      </w:r>
      <w:r>
        <w:rPr>
          <w:rFonts w:hint="eastAsia" w:ascii="宋体" w:hAnsi="宋体" w:eastAsia="宋体" w:cs="宋体"/>
          <w:b w:val="0"/>
          <w:bCs/>
          <w:color w:val="auto"/>
          <w:szCs w:val="21"/>
          <w:highlight w:val="none"/>
        </w:rPr>
        <w:t>标价由低到高的顺序推荐中标候选人，或根据</w:t>
      </w:r>
      <w:r>
        <w:rPr>
          <w:rFonts w:hint="eastAsia" w:ascii="宋体" w:hAnsi="宋体" w:eastAsia="宋体" w:cs="宋体"/>
          <w:b w:val="0"/>
          <w:bCs/>
          <w:color w:val="auto"/>
          <w:szCs w:val="21"/>
          <w:highlight w:val="none"/>
          <w:lang w:eastAsia="zh-CN"/>
        </w:rPr>
        <w:t>采购人</w:t>
      </w:r>
      <w:r>
        <w:rPr>
          <w:rFonts w:hint="eastAsia" w:ascii="宋体" w:hAnsi="宋体" w:eastAsia="宋体" w:cs="宋体"/>
          <w:b w:val="0"/>
          <w:bCs/>
          <w:color w:val="auto"/>
          <w:szCs w:val="21"/>
          <w:highlight w:val="none"/>
        </w:rPr>
        <w:t>授权直接确定中标人，但投标报价低于其成本的除外。经评审的</w:t>
      </w:r>
      <w:r>
        <w:rPr>
          <w:rFonts w:hint="eastAsia" w:ascii="宋体" w:hAnsi="宋体" w:eastAsia="宋体" w:cs="宋体"/>
          <w:b w:val="0"/>
          <w:bCs/>
          <w:color w:val="auto"/>
          <w:szCs w:val="21"/>
          <w:highlight w:val="none"/>
          <w:lang w:eastAsia="zh-CN"/>
        </w:rPr>
        <w:t>评</w:t>
      </w:r>
      <w:r>
        <w:rPr>
          <w:rFonts w:hint="eastAsia" w:ascii="宋体" w:hAnsi="宋体" w:eastAsia="宋体" w:cs="宋体"/>
          <w:b w:val="0"/>
          <w:bCs/>
          <w:color w:val="auto"/>
          <w:szCs w:val="21"/>
          <w:highlight w:val="none"/>
        </w:rPr>
        <w:t>标价相等时，投标报价低的优先；</w:t>
      </w:r>
      <w:r>
        <w:rPr>
          <w:rFonts w:hint="eastAsia" w:ascii="宋体" w:hAnsi="宋体" w:eastAsia="宋体" w:cs="宋体"/>
          <w:b w:val="0"/>
          <w:bCs/>
          <w:color w:val="auto"/>
          <w:szCs w:val="21"/>
          <w:highlight w:val="none"/>
          <w:lang w:eastAsia="zh-CN"/>
        </w:rPr>
        <w:t>投标报价也相等的，由评标委员会随机抽取确定</w:t>
      </w:r>
      <w:r>
        <w:rPr>
          <w:rFonts w:hint="eastAsia" w:ascii="宋体" w:hAnsi="宋体" w:eastAsia="宋体" w:cs="宋体"/>
          <w:b w:val="0"/>
          <w:bCs/>
          <w:color w:val="auto"/>
          <w:szCs w:val="21"/>
          <w:highlight w:val="none"/>
        </w:rPr>
        <w:t>。</w:t>
      </w:r>
    </w:p>
    <w:p w14:paraId="6C8AB02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 在评标结束后</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个工作日内将评标报告送采购人。</w:t>
      </w:r>
    </w:p>
    <w:p w14:paraId="4452A1B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采购人在收到评标报告后五个工作日内，按照评标报告中推荐的中标候选人顺序确定中标人。</w:t>
      </w:r>
    </w:p>
    <w:p w14:paraId="66A3A67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注意，采购人按照推荐的中标候选人顺序确定中标人，不能认为采购人只能确定第一中标候选人为中标人，采购人有正当理由的，可以确定后一顺序中标候选人为中标人，依次类推。</w:t>
      </w:r>
    </w:p>
    <w:p w14:paraId="0334D19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根据采购人确定的中标人，</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w:t>
      </w:r>
      <w:r>
        <w:rPr>
          <w:rFonts w:hint="eastAsia" w:ascii="宋体" w:hAnsi="宋体" w:eastAsia="宋体" w:cs="宋体"/>
          <w:bCs/>
          <w:color w:val="auto"/>
          <w:szCs w:val="21"/>
          <w:highlight w:val="none"/>
          <w:lang w:val="en-US" w:eastAsia="zh-CN"/>
        </w:rPr>
        <w:t>招标公告相同媒介</w:t>
      </w:r>
      <w:r>
        <w:rPr>
          <w:rFonts w:hint="eastAsia" w:ascii="宋体" w:hAnsi="宋体" w:eastAsia="宋体" w:cs="宋体"/>
          <w:color w:val="auto"/>
          <w:szCs w:val="21"/>
          <w:highlight w:val="none"/>
        </w:rPr>
        <w:t>发布中标公告，同时向中标人发出中标通知书。</w:t>
      </w:r>
    </w:p>
    <w:p w14:paraId="21B7044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6.2.5 招标采购单位不退回投标文件和其他投标资料。</w:t>
      </w:r>
    </w:p>
    <w:p w14:paraId="567B38E6">
      <w:pPr>
        <w:snapToGrid w:val="0"/>
        <w:spacing w:line="500" w:lineRule="exact"/>
        <w:ind w:left="550" w:hanging="550"/>
        <w:jc w:val="center"/>
        <w:rPr>
          <w:rFonts w:hint="eastAsia" w:ascii="宋体" w:hAnsi="宋体" w:eastAsia="宋体" w:cs="宋体"/>
          <w:b/>
          <w:bCs/>
          <w:color w:val="auto"/>
          <w:sz w:val="28"/>
          <w:szCs w:val="28"/>
          <w:highlight w:val="none"/>
          <w:lang w:val="zh-CN"/>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lang w:val="zh-CN"/>
        </w:rPr>
        <w:t>资格性</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lang w:val="zh-CN"/>
        </w:rPr>
        <w:t>查</w:t>
      </w:r>
    </w:p>
    <w:p w14:paraId="3F57BBEA">
      <w:pPr>
        <w:snapToGrid w:val="0"/>
        <w:spacing w:line="500" w:lineRule="exact"/>
        <w:ind w:left="550" w:hanging="550"/>
        <w:jc w:val="center"/>
        <w:rPr>
          <w:rFonts w:hint="eastAsia" w:ascii="宋体" w:hAnsi="宋体" w:eastAsia="宋体" w:cs="宋体"/>
          <w:b/>
          <w:bCs/>
          <w:color w:val="auto"/>
          <w:sz w:val="28"/>
          <w:szCs w:val="28"/>
          <w:highlight w:val="none"/>
          <w:lang w:val="zh-CN"/>
        </w:rPr>
      </w:pPr>
    </w:p>
    <w:tbl>
      <w:tblPr>
        <w:tblStyle w:val="33"/>
        <w:tblpPr w:leftFromText="180" w:rightFromText="180" w:vertAnchor="text" w:horzAnchor="page" w:tblpX="1229" w:tblpY="312"/>
        <w:tblOverlap w:val="never"/>
        <w:tblW w:w="52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916"/>
        <w:gridCol w:w="6481"/>
      </w:tblGrid>
      <w:tr w14:paraId="5C43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blHeader/>
        </w:trPr>
        <w:tc>
          <w:tcPr>
            <w:tcW w:w="417" w:type="pct"/>
            <w:noWrap w:val="0"/>
            <w:vAlign w:val="center"/>
          </w:tcPr>
          <w:p w14:paraId="7C84213F">
            <w:pPr>
              <w:spacing w:line="312"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422" w:type="pct"/>
            <w:noWrap w:val="0"/>
            <w:vAlign w:val="center"/>
          </w:tcPr>
          <w:p w14:paraId="0F14BD74">
            <w:pPr>
              <w:spacing w:line="312"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3160" w:type="pct"/>
            <w:noWrap w:val="0"/>
            <w:vAlign w:val="center"/>
          </w:tcPr>
          <w:p w14:paraId="5185C7BF">
            <w:pPr>
              <w:spacing w:line="312"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2AC1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17" w:type="pct"/>
            <w:noWrap w:val="0"/>
            <w:vAlign w:val="center"/>
          </w:tcPr>
          <w:p w14:paraId="6E79CA0D">
            <w:pPr>
              <w:pStyle w:val="7"/>
              <w:spacing w:line="312"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422" w:type="pct"/>
            <w:noWrap w:val="0"/>
            <w:vAlign w:val="center"/>
          </w:tcPr>
          <w:p w14:paraId="503DB5B7">
            <w:pPr>
              <w:snapToGrid w:val="0"/>
              <w:spacing w:line="312"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具备有效的营业执照</w:t>
            </w:r>
          </w:p>
        </w:tc>
        <w:tc>
          <w:tcPr>
            <w:tcW w:w="3160" w:type="pct"/>
            <w:noWrap w:val="0"/>
            <w:vAlign w:val="center"/>
          </w:tcPr>
          <w:p w14:paraId="629B99F1">
            <w:pPr>
              <w:snapToGrid w:val="0"/>
              <w:spacing w:line="312"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投标文件内附营业执照复印件加盖投标单位公章。</w:t>
            </w:r>
          </w:p>
        </w:tc>
      </w:tr>
      <w:tr w14:paraId="7B06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17" w:type="pct"/>
            <w:noWrap w:val="0"/>
            <w:vAlign w:val="center"/>
          </w:tcPr>
          <w:p w14:paraId="17CD2F0E">
            <w:pPr>
              <w:pStyle w:val="7"/>
              <w:spacing w:line="312"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22" w:type="pct"/>
            <w:noWrap w:val="0"/>
            <w:vAlign w:val="center"/>
          </w:tcPr>
          <w:p w14:paraId="164ECAC6">
            <w:pPr>
              <w:snapToGrid w:val="0"/>
              <w:spacing w:line="312" w:lineRule="auto"/>
              <w:jc w:val="left"/>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中小企业声明函</w:t>
            </w:r>
          </w:p>
        </w:tc>
        <w:tc>
          <w:tcPr>
            <w:tcW w:w="3160" w:type="pct"/>
            <w:noWrap w:val="0"/>
            <w:vAlign w:val="center"/>
          </w:tcPr>
          <w:p w14:paraId="74199F43">
            <w:pPr>
              <w:snapToGrid w:val="0"/>
              <w:spacing w:line="312" w:lineRule="auto"/>
              <w:jc w:val="left"/>
              <w:rPr>
                <w:rFonts w:hint="eastAsia" w:ascii="宋体" w:hAnsi="宋体" w:cs="宋体"/>
                <w:bCs/>
                <w:color w:val="auto"/>
                <w:sz w:val="21"/>
                <w:szCs w:val="21"/>
                <w:highlight w:val="none"/>
              </w:rPr>
            </w:pPr>
            <w:r>
              <w:rPr>
                <w:rFonts w:hint="eastAsia" w:ascii="宋体" w:hAnsi="宋体" w:eastAsia="宋体" w:cs="宋体"/>
                <w:snapToGrid w:val="0"/>
                <w:color w:val="000000"/>
                <w:spacing w:val="5"/>
                <w:kern w:val="0"/>
                <w:sz w:val="20"/>
                <w:szCs w:val="20"/>
                <w:highlight w:val="none"/>
                <w:lang w:val="en-US" w:eastAsia="en-US" w:bidi="ar-SA"/>
              </w:rPr>
              <w:t>提供中小企业声明函或视同为小微企业的证明材料，</w:t>
            </w:r>
            <w:r>
              <w:rPr>
                <w:rFonts w:hint="eastAsia" w:ascii="宋体" w:hAnsi="宋体" w:eastAsia="宋体" w:cs="宋体"/>
                <w:b/>
                <w:bCs/>
                <w:snapToGrid w:val="0"/>
                <w:color w:val="000000"/>
                <w:spacing w:val="8"/>
                <w:kern w:val="0"/>
                <w:sz w:val="20"/>
                <w:szCs w:val="20"/>
                <w:highlight w:val="none"/>
                <w:lang w:val="zh-CN" w:eastAsia="en-US" w:bidi="ar-SA"/>
              </w:rPr>
              <w:t>投标文件内附加盖公章（鲜章）的复印件。</w:t>
            </w:r>
          </w:p>
        </w:tc>
      </w:tr>
      <w:tr w14:paraId="2C0D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17" w:type="pct"/>
            <w:noWrap w:val="0"/>
            <w:vAlign w:val="center"/>
          </w:tcPr>
          <w:p w14:paraId="22F447DD">
            <w:pPr>
              <w:pStyle w:val="7"/>
              <w:spacing w:line="312"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22" w:type="pct"/>
            <w:shd w:val="clear" w:color="auto" w:fill="auto"/>
            <w:noWrap w:val="0"/>
            <w:vAlign w:val="center"/>
          </w:tcPr>
          <w:p w14:paraId="271C4920">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rPr>
              <w:t>本项目的特定资格要求</w:t>
            </w:r>
          </w:p>
        </w:tc>
        <w:tc>
          <w:tcPr>
            <w:tcW w:w="3160" w:type="pct"/>
            <w:shd w:val="clear" w:color="auto" w:fill="auto"/>
            <w:noWrap w:val="0"/>
            <w:vAlign w:val="center"/>
          </w:tcPr>
          <w:p w14:paraId="78395CE3">
            <w:pPr>
              <w:pStyle w:val="32"/>
              <w:keepNext w:val="0"/>
              <w:keepLines w:val="0"/>
              <w:pageBreakBefore w:val="0"/>
              <w:widowControl w:val="0"/>
              <w:tabs>
                <w:tab w:val="left" w:pos="360"/>
              </w:tabs>
              <w:kinsoku/>
              <w:wordWrap/>
              <w:overflowPunct/>
              <w:topLinePunct w:val="0"/>
              <w:bidi w:val="0"/>
              <w:snapToGrid/>
              <w:spacing w:after="0" w:line="360" w:lineRule="exact"/>
              <w:ind w:left="0" w:leftChars="0" w:firstLine="0" w:firstLineChars="0"/>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一标段投标人为生产企业，应取得食品药品监督管理部门颁发的《第一类医疗器械生产备案凭证》（含核酸分离纯化类）；</w:t>
            </w:r>
          </w:p>
          <w:p w14:paraId="0B7DE99C">
            <w:pPr>
              <w:pStyle w:val="32"/>
              <w:keepNext w:val="0"/>
              <w:keepLines w:val="0"/>
              <w:pageBreakBefore w:val="0"/>
              <w:widowControl w:val="0"/>
              <w:tabs>
                <w:tab w:val="left" w:pos="360"/>
              </w:tabs>
              <w:kinsoku/>
              <w:wordWrap/>
              <w:overflowPunct/>
              <w:topLinePunct w:val="0"/>
              <w:bidi w:val="0"/>
              <w:snapToGrid/>
              <w:spacing w:after="0" w:line="360" w:lineRule="exact"/>
              <w:ind w:left="0" w:leftChars="0" w:firstLine="0" w:firstLineChars="0"/>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一标段投标人为经营企业，应提供制造商的食品药品监督管理部门颁发的《第一类医疗器械生产备案凭证》（含核酸分离纯化类）；</w:t>
            </w:r>
          </w:p>
        </w:tc>
      </w:tr>
      <w:tr w14:paraId="53CB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417" w:type="pct"/>
            <w:noWrap w:val="0"/>
            <w:vAlign w:val="center"/>
          </w:tcPr>
          <w:p w14:paraId="420493A4">
            <w:pPr>
              <w:pStyle w:val="7"/>
              <w:spacing w:line="312"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422" w:type="pct"/>
            <w:noWrap w:val="0"/>
            <w:vAlign w:val="center"/>
          </w:tcPr>
          <w:p w14:paraId="7047D0A7">
            <w:pPr>
              <w:snapToGrid w:val="0"/>
              <w:spacing w:line="312"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具有良好的商业信誉和健全的财务会计制度</w:t>
            </w:r>
          </w:p>
        </w:tc>
        <w:tc>
          <w:tcPr>
            <w:tcW w:w="3160" w:type="pct"/>
            <w:noWrap w:val="0"/>
            <w:vAlign w:val="center"/>
          </w:tcPr>
          <w:p w14:paraId="2CD55C5C">
            <w:pPr>
              <w:snapToGrid w:val="0"/>
              <w:spacing w:line="312"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提供资格条件承诺函。</w:t>
            </w:r>
          </w:p>
        </w:tc>
      </w:tr>
      <w:tr w14:paraId="7144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417" w:type="pct"/>
            <w:noWrap w:val="0"/>
            <w:vAlign w:val="center"/>
          </w:tcPr>
          <w:p w14:paraId="07C953F2">
            <w:pPr>
              <w:pStyle w:val="7"/>
              <w:spacing w:line="312"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422" w:type="pct"/>
            <w:noWrap w:val="0"/>
            <w:vAlign w:val="center"/>
          </w:tcPr>
          <w:p w14:paraId="6CFD2D45">
            <w:pPr>
              <w:snapToGrid w:val="0"/>
              <w:spacing w:line="312"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具有依法缴纳税收和社会保障资金的良好记录</w:t>
            </w:r>
          </w:p>
        </w:tc>
        <w:tc>
          <w:tcPr>
            <w:tcW w:w="3160" w:type="pct"/>
            <w:noWrap w:val="0"/>
            <w:vAlign w:val="center"/>
          </w:tcPr>
          <w:p w14:paraId="5A99FAB3">
            <w:pPr>
              <w:snapToGrid w:val="0"/>
              <w:spacing w:line="312"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提供资格条件承诺函。</w:t>
            </w:r>
          </w:p>
        </w:tc>
      </w:tr>
      <w:tr w14:paraId="1474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417" w:type="pct"/>
            <w:noWrap w:val="0"/>
            <w:vAlign w:val="center"/>
          </w:tcPr>
          <w:p w14:paraId="01B80FE7">
            <w:pPr>
              <w:pStyle w:val="7"/>
              <w:spacing w:line="312"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422" w:type="pct"/>
            <w:noWrap w:val="0"/>
            <w:vAlign w:val="center"/>
          </w:tcPr>
          <w:p w14:paraId="118BCD42">
            <w:pPr>
              <w:snapToGrid w:val="0"/>
              <w:spacing w:line="312"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具有履行合同所必需的设备和专业技术能力</w:t>
            </w:r>
          </w:p>
        </w:tc>
        <w:tc>
          <w:tcPr>
            <w:tcW w:w="3160" w:type="pct"/>
            <w:noWrap w:val="0"/>
            <w:vAlign w:val="center"/>
          </w:tcPr>
          <w:p w14:paraId="0D432CA4">
            <w:pPr>
              <w:snapToGrid w:val="0"/>
              <w:spacing w:line="312"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投标文件内附加盖公章、法定代表人或其授权代理人签字的承诺函或业绩证明材料。</w:t>
            </w:r>
          </w:p>
        </w:tc>
      </w:tr>
      <w:tr w14:paraId="2D59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417" w:type="pct"/>
            <w:noWrap w:val="0"/>
            <w:vAlign w:val="center"/>
          </w:tcPr>
          <w:p w14:paraId="7F5EE274">
            <w:pPr>
              <w:autoSpaceDE w:val="0"/>
              <w:autoSpaceDN w:val="0"/>
              <w:adjustRightInd w:val="0"/>
              <w:spacing w:line="312" w:lineRule="auto"/>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p>
        </w:tc>
        <w:tc>
          <w:tcPr>
            <w:tcW w:w="1422" w:type="pct"/>
            <w:noWrap w:val="0"/>
            <w:vAlign w:val="center"/>
          </w:tcPr>
          <w:p w14:paraId="25FBC864">
            <w:pPr>
              <w:snapToGrid w:val="0"/>
              <w:spacing w:line="312" w:lineRule="auto"/>
              <w:jc w:val="left"/>
              <w:rPr>
                <w:rFonts w:hint="eastAsia" w:ascii="宋体" w:hAnsi="宋体" w:cs="宋体"/>
                <w:color w:val="auto"/>
                <w:sz w:val="21"/>
                <w:szCs w:val="21"/>
                <w:highlight w:val="none"/>
              </w:rPr>
            </w:pPr>
            <w:r>
              <w:rPr>
                <w:rFonts w:hint="eastAsia" w:ascii="宋体" w:hAnsi="宋体" w:cs="宋体"/>
                <w:bCs/>
                <w:color w:val="auto"/>
                <w:sz w:val="21"/>
                <w:szCs w:val="21"/>
                <w:highlight w:val="none"/>
              </w:rPr>
              <w:t>参加政府采购活动前三年内，在经营活动中没有重大违法记录</w:t>
            </w:r>
          </w:p>
        </w:tc>
        <w:tc>
          <w:tcPr>
            <w:tcW w:w="3160" w:type="pct"/>
            <w:noWrap w:val="0"/>
            <w:vAlign w:val="center"/>
          </w:tcPr>
          <w:p w14:paraId="573A92FC">
            <w:pPr>
              <w:snapToGrid w:val="0"/>
              <w:spacing w:line="312"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投标文件内附加盖公章、法定代表人或其授权代理人签字的承诺函。</w:t>
            </w:r>
          </w:p>
        </w:tc>
      </w:tr>
      <w:tr w14:paraId="31DD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17" w:type="pct"/>
            <w:noWrap w:val="0"/>
            <w:vAlign w:val="center"/>
          </w:tcPr>
          <w:p w14:paraId="525D6719">
            <w:pPr>
              <w:pStyle w:val="7"/>
              <w:spacing w:line="312"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4582" w:type="pct"/>
            <w:gridSpan w:val="2"/>
            <w:noWrap w:val="0"/>
            <w:vAlign w:val="center"/>
          </w:tcPr>
          <w:p w14:paraId="3A9E3726">
            <w:pPr>
              <w:snapToGrid w:val="0"/>
              <w:spacing w:line="312"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符合法律、行政法规规定的其他条件</w:t>
            </w:r>
          </w:p>
        </w:tc>
      </w:tr>
      <w:tr w14:paraId="6551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trPr>
        <w:tc>
          <w:tcPr>
            <w:tcW w:w="417" w:type="pct"/>
            <w:vMerge w:val="restart"/>
            <w:noWrap w:val="0"/>
            <w:vAlign w:val="center"/>
          </w:tcPr>
          <w:p w14:paraId="6CFBBE1E">
            <w:pPr>
              <w:snapToGrid w:val="0"/>
              <w:spacing w:line="312"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1422" w:type="pct"/>
            <w:vMerge w:val="restart"/>
            <w:noWrap w:val="0"/>
            <w:vAlign w:val="center"/>
          </w:tcPr>
          <w:p w14:paraId="2D3D6E98">
            <w:pPr>
              <w:spacing w:line="312"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信誉要求</w:t>
            </w:r>
          </w:p>
        </w:tc>
        <w:tc>
          <w:tcPr>
            <w:tcW w:w="3160" w:type="pct"/>
            <w:noWrap w:val="0"/>
            <w:vAlign w:val="center"/>
          </w:tcPr>
          <w:p w14:paraId="79069669">
            <w:pPr>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（1）不接受列入政府取消投标资格记录期间的企业或个人参加投标；</w:t>
            </w:r>
          </w:p>
          <w:p w14:paraId="31D816BE">
            <w:pPr>
              <w:snapToGrid w:val="0"/>
              <w:spacing w:line="312" w:lineRule="auto"/>
              <w:rPr>
                <w:rFonts w:hint="eastAsia" w:ascii="宋体" w:hAnsi="宋体" w:cs="宋体"/>
                <w:color w:val="auto"/>
                <w:sz w:val="21"/>
                <w:szCs w:val="21"/>
                <w:highlight w:val="none"/>
              </w:rPr>
            </w:pPr>
            <w:r>
              <w:rPr>
                <w:rFonts w:hint="eastAsia" w:ascii="宋体" w:hAnsi="宋体" w:cs="宋体"/>
                <w:b/>
                <w:bCs/>
                <w:color w:val="auto"/>
                <w:sz w:val="21"/>
                <w:szCs w:val="21"/>
                <w:highlight w:val="none"/>
              </w:rPr>
              <w:t>投标文件内提供加盖公章、法定代表人或其授权代理人签字的承诺函。</w:t>
            </w:r>
          </w:p>
        </w:tc>
      </w:tr>
      <w:tr w14:paraId="543A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trPr>
        <w:tc>
          <w:tcPr>
            <w:tcW w:w="417" w:type="pct"/>
            <w:vMerge w:val="continue"/>
            <w:noWrap w:val="0"/>
            <w:vAlign w:val="center"/>
          </w:tcPr>
          <w:p w14:paraId="25EB5F9B">
            <w:pPr>
              <w:snapToGrid w:val="0"/>
              <w:spacing w:line="312" w:lineRule="auto"/>
              <w:jc w:val="center"/>
              <w:rPr>
                <w:rFonts w:hint="eastAsia" w:ascii="宋体" w:hAnsi="宋体" w:cs="宋体"/>
                <w:color w:val="auto"/>
                <w:sz w:val="21"/>
                <w:szCs w:val="21"/>
                <w:highlight w:val="none"/>
              </w:rPr>
            </w:pPr>
          </w:p>
        </w:tc>
        <w:tc>
          <w:tcPr>
            <w:tcW w:w="1422" w:type="pct"/>
            <w:vMerge w:val="continue"/>
            <w:noWrap w:val="0"/>
            <w:vAlign w:val="center"/>
          </w:tcPr>
          <w:p w14:paraId="6E782A9A">
            <w:pPr>
              <w:snapToGrid w:val="0"/>
              <w:spacing w:line="312" w:lineRule="auto"/>
              <w:jc w:val="left"/>
              <w:rPr>
                <w:rFonts w:hint="eastAsia" w:ascii="宋体" w:hAnsi="宋体" w:cs="宋体"/>
                <w:color w:val="auto"/>
                <w:sz w:val="21"/>
                <w:szCs w:val="21"/>
                <w:highlight w:val="none"/>
              </w:rPr>
            </w:pPr>
          </w:p>
        </w:tc>
        <w:tc>
          <w:tcPr>
            <w:tcW w:w="3160" w:type="pct"/>
            <w:noWrap w:val="0"/>
            <w:vAlign w:val="center"/>
          </w:tcPr>
          <w:p w14:paraId="3090ADDE">
            <w:pPr>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不得为“信用中国”网站（www.creditchina.gov.cn）中列入失信被执行人和重大税收违法失信主体的投标人，不得为中国政府采购网（www.ccgp.gov.cn）政府采购严重违法失信行为记录名单中被财政部门禁止参加政府采购活动的投标人（在处罚决定规定的时间和地域范围内）（详见财库【2016】125号文）。</w:t>
            </w:r>
          </w:p>
          <w:p w14:paraId="3A2A0730">
            <w:pPr>
              <w:snapToGrid w:val="0"/>
              <w:spacing w:line="312" w:lineRule="auto"/>
              <w:rPr>
                <w:rFonts w:hint="eastAsia" w:ascii="宋体" w:hAnsi="宋体" w:cs="宋体"/>
                <w:color w:val="auto"/>
                <w:sz w:val="21"/>
                <w:szCs w:val="21"/>
                <w:highlight w:val="none"/>
              </w:rPr>
            </w:pPr>
            <w:r>
              <w:rPr>
                <w:rFonts w:hint="eastAsia" w:ascii="宋体" w:hAnsi="宋体" w:cs="宋体"/>
                <w:b/>
                <w:color w:val="auto"/>
                <w:sz w:val="21"/>
                <w:szCs w:val="21"/>
                <w:highlight w:val="none"/>
              </w:rPr>
              <w:t>投标文件内提供加盖公章的网站查询截图。</w:t>
            </w:r>
          </w:p>
        </w:tc>
      </w:tr>
      <w:tr w14:paraId="3D9E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417" w:type="pct"/>
            <w:vMerge w:val="continue"/>
            <w:noWrap w:val="0"/>
            <w:vAlign w:val="center"/>
          </w:tcPr>
          <w:p w14:paraId="12F6F229">
            <w:pPr>
              <w:snapToGrid w:val="0"/>
              <w:spacing w:line="312" w:lineRule="auto"/>
              <w:jc w:val="center"/>
              <w:rPr>
                <w:rFonts w:hint="eastAsia" w:ascii="宋体" w:hAnsi="宋体" w:cs="宋体"/>
                <w:color w:val="auto"/>
                <w:sz w:val="21"/>
                <w:szCs w:val="21"/>
                <w:highlight w:val="none"/>
              </w:rPr>
            </w:pPr>
          </w:p>
        </w:tc>
        <w:tc>
          <w:tcPr>
            <w:tcW w:w="1422" w:type="pct"/>
            <w:vMerge w:val="continue"/>
            <w:noWrap w:val="0"/>
            <w:vAlign w:val="center"/>
          </w:tcPr>
          <w:p w14:paraId="12220268">
            <w:pPr>
              <w:snapToGrid w:val="0"/>
              <w:spacing w:line="312" w:lineRule="auto"/>
              <w:jc w:val="left"/>
              <w:rPr>
                <w:rFonts w:hint="eastAsia" w:ascii="宋体" w:hAnsi="宋体" w:cs="宋体"/>
                <w:color w:val="auto"/>
                <w:sz w:val="21"/>
                <w:szCs w:val="21"/>
                <w:highlight w:val="none"/>
              </w:rPr>
            </w:pPr>
          </w:p>
        </w:tc>
        <w:tc>
          <w:tcPr>
            <w:tcW w:w="3160" w:type="pct"/>
            <w:noWrap w:val="0"/>
            <w:vAlign w:val="center"/>
          </w:tcPr>
          <w:p w14:paraId="16E8D8B2">
            <w:pPr>
              <w:snapToGrid w:val="0"/>
              <w:spacing w:line="312" w:lineRule="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（3）供应商未被工商行政管理机关在全国企业信用信息公示系统（www.gsxt.gov.cn）中列入严重违法失信企业名单</w:t>
            </w:r>
            <w:r>
              <w:rPr>
                <w:rFonts w:hint="eastAsia" w:ascii="宋体" w:hAnsi="宋体" w:cs="宋体"/>
                <w:b w:val="0"/>
                <w:bCs/>
                <w:color w:val="auto"/>
                <w:sz w:val="21"/>
                <w:szCs w:val="21"/>
                <w:highlight w:val="none"/>
                <w:lang w:eastAsia="zh-CN"/>
              </w:rPr>
              <w:t>。</w:t>
            </w:r>
            <w:r>
              <w:rPr>
                <w:rFonts w:hint="eastAsia" w:ascii="宋体" w:hAnsi="宋体" w:cs="宋体"/>
                <w:b/>
                <w:color w:val="auto"/>
                <w:sz w:val="21"/>
                <w:szCs w:val="21"/>
                <w:highlight w:val="none"/>
              </w:rPr>
              <w:t>投标文件内提供加盖公章的网站查询截图。</w:t>
            </w:r>
          </w:p>
        </w:tc>
      </w:tr>
      <w:tr w14:paraId="5F0C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417" w:type="pct"/>
            <w:vMerge w:val="continue"/>
            <w:noWrap w:val="0"/>
            <w:vAlign w:val="center"/>
          </w:tcPr>
          <w:p w14:paraId="0F6F7FAC">
            <w:pPr>
              <w:snapToGrid w:val="0"/>
              <w:spacing w:line="312" w:lineRule="auto"/>
              <w:jc w:val="center"/>
              <w:rPr>
                <w:rFonts w:hint="eastAsia" w:ascii="宋体" w:hAnsi="宋体" w:cs="宋体"/>
                <w:color w:val="auto"/>
                <w:sz w:val="21"/>
                <w:szCs w:val="21"/>
                <w:highlight w:val="none"/>
              </w:rPr>
            </w:pPr>
          </w:p>
        </w:tc>
        <w:tc>
          <w:tcPr>
            <w:tcW w:w="1422" w:type="pct"/>
            <w:vMerge w:val="continue"/>
            <w:noWrap w:val="0"/>
            <w:vAlign w:val="center"/>
          </w:tcPr>
          <w:p w14:paraId="4A4A903E">
            <w:pPr>
              <w:snapToGrid w:val="0"/>
              <w:spacing w:line="312" w:lineRule="auto"/>
              <w:jc w:val="left"/>
              <w:rPr>
                <w:rFonts w:hint="eastAsia" w:ascii="宋体" w:hAnsi="宋体" w:cs="宋体"/>
                <w:color w:val="auto"/>
                <w:sz w:val="21"/>
                <w:szCs w:val="21"/>
                <w:highlight w:val="none"/>
              </w:rPr>
            </w:pPr>
          </w:p>
        </w:tc>
        <w:tc>
          <w:tcPr>
            <w:tcW w:w="3160" w:type="pct"/>
            <w:noWrap w:val="0"/>
            <w:vAlign w:val="center"/>
          </w:tcPr>
          <w:p w14:paraId="09E430DB">
            <w:pPr>
              <w:snapToGrid w:val="0"/>
              <w:spacing w:line="312" w:lineRule="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（4）供应商近三年（2023年1月1日至今）内在中国裁判文书网（wenshu.court.gov.cn）无行贿犯罪记录。</w:t>
            </w:r>
            <w:r>
              <w:rPr>
                <w:rFonts w:hint="eastAsia" w:ascii="宋体" w:hAnsi="宋体" w:cs="宋体"/>
                <w:b/>
                <w:color w:val="auto"/>
                <w:sz w:val="21"/>
                <w:szCs w:val="21"/>
                <w:highlight w:val="none"/>
              </w:rPr>
              <w:t>投标文件内提供加盖公章的网站查询截图。</w:t>
            </w:r>
          </w:p>
        </w:tc>
      </w:tr>
      <w:tr w14:paraId="30C4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trPr>
        <w:tc>
          <w:tcPr>
            <w:tcW w:w="417" w:type="pct"/>
            <w:noWrap w:val="0"/>
            <w:vAlign w:val="center"/>
          </w:tcPr>
          <w:p w14:paraId="4FD00B89">
            <w:pPr>
              <w:snapToGrid w:val="0"/>
              <w:spacing w:line="312"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422" w:type="pct"/>
            <w:noWrap w:val="0"/>
            <w:vAlign w:val="center"/>
          </w:tcPr>
          <w:p w14:paraId="21E2E805">
            <w:pPr>
              <w:snapToGrid w:val="0"/>
              <w:spacing w:line="312"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其他要求</w:t>
            </w:r>
          </w:p>
        </w:tc>
        <w:tc>
          <w:tcPr>
            <w:tcW w:w="3160" w:type="pct"/>
            <w:noWrap w:val="0"/>
            <w:vAlign w:val="center"/>
          </w:tcPr>
          <w:p w14:paraId="3DEB32E4">
            <w:pPr>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与采购人存在利害关系可能影响采购公正性的法人、其它组织或者个人，不得参加投标；单位负责人为同一人或者存在直接控股、管理关系的不同投标人，不得参加同一合同项下的政府采购活动。否则相关投标无效。</w:t>
            </w:r>
          </w:p>
          <w:p w14:paraId="24F20830">
            <w:pPr>
              <w:snapToGrid w:val="0"/>
              <w:spacing w:line="312" w:lineRule="auto"/>
              <w:rPr>
                <w:rFonts w:hint="eastAsia" w:ascii="宋体" w:hAnsi="宋体" w:cs="宋体"/>
                <w:color w:val="auto"/>
                <w:sz w:val="21"/>
                <w:szCs w:val="21"/>
                <w:highlight w:val="none"/>
              </w:rPr>
            </w:pPr>
            <w:r>
              <w:rPr>
                <w:rFonts w:hint="eastAsia" w:ascii="宋体" w:hAnsi="宋体" w:cs="宋体"/>
                <w:b/>
                <w:bCs/>
                <w:color w:val="auto"/>
                <w:sz w:val="21"/>
                <w:szCs w:val="21"/>
                <w:highlight w:val="none"/>
              </w:rPr>
              <w:t>标书内提供加盖公章、法定代表人或其授权代理人签字的承诺函。</w:t>
            </w:r>
          </w:p>
        </w:tc>
      </w:tr>
    </w:tbl>
    <w:p w14:paraId="133899F8">
      <w:pPr>
        <w:pStyle w:val="9"/>
        <w:autoSpaceDE w:val="0"/>
        <w:autoSpaceDN w:val="0"/>
        <w:adjustRightInd w:val="0"/>
        <w:snapToGrid w:val="0"/>
        <w:rPr>
          <w:rFonts w:hint="eastAsia" w:ascii="宋体" w:hAnsi="宋体" w:eastAsia="宋体" w:cs="宋体"/>
          <w:color w:val="auto"/>
          <w:sz w:val="21"/>
          <w:szCs w:val="21"/>
          <w:highlight w:val="none"/>
        </w:rPr>
      </w:pPr>
    </w:p>
    <w:p w14:paraId="51506594">
      <w:pPr>
        <w:pStyle w:val="9"/>
        <w:autoSpaceDE w:val="0"/>
        <w:autoSpaceDN w:val="0"/>
        <w:adjustRightInd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E5566DC">
      <w:pPr>
        <w:autoSpaceDE w:val="0"/>
        <w:autoSpaceDN w:val="0"/>
        <w:adjustRightInd w:val="0"/>
        <w:snapToGrid w:val="0"/>
        <w:spacing w:line="312" w:lineRule="auto"/>
        <w:rPr>
          <w:rFonts w:hint="eastAsia" w:ascii="宋体" w:hAnsi="宋体" w:cs="宋体"/>
          <w:color w:val="auto"/>
          <w:sz w:val="24"/>
          <w:highlight w:val="none"/>
        </w:rPr>
      </w:pPr>
      <w:r>
        <w:rPr>
          <w:rFonts w:hint="eastAsia" w:ascii="宋体" w:hAnsi="宋体" w:cs="宋体"/>
          <w:color w:val="auto"/>
          <w:sz w:val="24"/>
          <w:highlight w:val="none"/>
        </w:rPr>
        <w:t>有下列情形之一的，视为投标人串通投标，其投标无效：</w:t>
      </w:r>
    </w:p>
    <w:p w14:paraId="7C505084">
      <w:pPr>
        <w:autoSpaceDE w:val="0"/>
        <w:autoSpaceDN w:val="0"/>
        <w:adjustRightInd w:val="0"/>
        <w:snapToGrid w:val="0"/>
        <w:spacing w:line="312" w:lineRule="auto"/>
        <w:rPr>
          <w:rFonts w:hint="eastAsia" w:ascii="宋体" w:hAnsi="宋体" w:cs="宋体"/>
          <w:color w:val="auto"/>
          <w:sz w:val="24"/>
          <w:highlight w:val="none"/>
        </w:rPr>
      </w:pPr>
      <w:r>
        <w:rPr>
          <w:rFonts w:hint="eastAsia" w:ascii="宋体" w:hAnsi="宋体" w:cs="宋体"/>
          <w:color w:val="auto"/>
          <w:sz w:val="24"/>
          <w:highlight w:val="none"/>
        </w:rPr>
        <w:t>不同投标人的投标文件由同一单位或者个人编制；</w:t>
      </w:r>
    </w:p>
    <w:p w14:paraId="69FB0E37">
      <w:pPr>
        <w:autoSpaceDE w:val="0"/>
        <w:autoSpaceDN w:val="0"/>
        <w:adjustRightInd w:val="0"/>
        <w:snapToGrid w:val="0"/>
        <w:spacing w:line="312" w:lineRule="auto"/>
        <w:rPr>
          <w:rFonts w:hint="eastAsia" w:ascii="宋体" w:hAnsi="宋体" w:cs="宋体"/>
          <w:color w:val="auto"/>
          <w:sz w:val="24"/>
          <w:highlight w:val="none"/>
        </w:rPr>
      </w:pPr>
      <w:r>
        <w:rPr>
          <w:rFonts w:hint="eastAsia" w:ascii="宋体" w:hAnsi="宋体" w:cs="宋体"/>
          <w:color w:val="auto"/>
          <w:sz w:val="24"/>
          <w:highlight w:val="none"/>
        </w:rPr>
        <w:t>不同投标人委托同一单位或者个人办理投标事宜；</w:t>
      </w:r>
    </w:p>
    <w:p w14:paraId="244203C9">
      <w:pPr>
        <w:autoSpaceDE w:val="0"/>
        <w:autoSpaceDN w:val="0"/>
        <w:adjustRightInd w:val="0"/>
        <w:snapToGrid w:val="0"/>
        <w:spacing w:line="312" w:lineRule="auto"/>
        <w:rPr>
          <w:rFonts w:hint="eastAsia" w:ascii="宋体" w:hAnsi="宋体" w:cs="宋体"/>
          <w:color w:val="auto"/>
          <w:sz w:val="24"/>
          <w:highlight w:val="none"/>
        </w:rPr>
      </w:pPr>
      <w:r>
        <w:rPr>
          <w:rFonts w:hint="eastAsia" w:ascii="宋体" w:hAnsi="宋体" w:cs="宋体"/>
          <w:color w:val="auto"/>
          <w:sz w:val="24"/>
          <w:highlight w:val="none"/>
        </w:rPr>
        <w:t>不同投标人的投标文件载明的项目管理成员或者联系人员为同一人；</w:t>
      </w:r>
    </w:p>
    <w:p w14:paraId="6EB5DC7B">
      <w:pPr>
        <w:autoSpaceDE w:val="0"/>
        <w:autoSpaceDN w:val="0"/>
        <w:adjustRightInd w:val="0"/>
        <w:snapToGrid w:val="0"/>
        <w:spacing w:line="312" w:lineRule="auto"/>
        <w:rPr>
          <w:rFonts w:hint="eastAsia" w:ascii="宋体" w:hAnsi="宋体" w:cs="宋体"/>
          <w:color w:val="auto"/>
          <w:sz w:val="24"/>
          <w:highlight w:val="none"/>
        </w:rPr>
      </w:pPr>
      <w:r>
        <w:rPr>
          <w:rFonts w:hint="eastAsia" w:ascii="宋体" w:hAnsi="宋体" w:cs="宋体"/>
          <w:color w:val="auto"/>
          <w:sz w:val="24"/>
          <w:highlight w:val="none"/>
        </w:rPr>
        <w:t>不同投标人的投标文件异常一致或者投标报价呈规律性差异；</w:t>
      </w:r>
    </w:p>
    <w:p w14:paraId="750F2883">
      <w:pPr>
        <w:autoSpaceDE w:val="0"/>
        <w:autoSpaceDN w:val="0"/>
        <w:adjustRightInd w:val="0"/>
        <w:snapToGrid w:val="0"/>
        <w:spacing w:line="312" w:lineRule="auto"/>
        <w:rPr>
          <w:rFonts w:hint="eastAsia" w:ascii="宋体" w:hAnsi="宋体" w:cs="宋体"/>
          <w:color w:val="auto"/>
          <w:sz w:val="24"/>
          <w:highlight w:val="none"/>
        </w:rPr>
      </w:pPr>
      <w:r>
        <w:rPr>
          <w:rFonts w:hint="eastAsia" w:ascii="宋体" w:hAnsi="宋体" w:cs="宋体"/>
          <w:color w:val="auto"/>
          <w:sz w:val="24"/>
          <w:highlight w:val="none"/>
        </w:rPr>
        <w:t>不同投标人的投标文件相互混装；</w:t>
      </w:r>
    </w:p>
    <w:p w14:paraId="2BBF964C">
      <w:pPr>
        <w:spacing w:line="312" w:lineRule="auto"/>
        <w:rPr>
          <w:rFonts w:hint="eastAsia" w:ascii="宋体" w:hAnsi="宋体" w:cs="宋体"/>
          <w:color w:val="auto"/>
          <w:sz w:val="24"/>
          <w:szCs w:val="32"/>
          <w:highlight w:val="none"/>
        </w:rPr>
      </w:pPr>
      <w:r>
        <w:rPr>
          <w:rFonts w:hint="eastAsia" w:ascii="宋体" w:hAnsi="宋体" w:cs="宋体"/>
          <w:color w:val="auto"/>
          <w:sz w:val="24"/>
          <w:highlight w:val="none"/>
        </w:rPr>
        <w:t>不同投标人的投标保证金从同一单位或者个人的账户转出。</w:t>
      </w:r>
    </w:p>
    <w:p w14:paraId="0CE68FFB">
      <w:pPr>
        <w:snapToGrid w:val="0"/>
        <w:spacing w:line="500" w:lineRule="exact"/>
        <w:ind w:left="550" w:hanging="550"/>
        <w:rPr>
          <w:rFonts w:hint="eastAsia" w:ascii="宋体" w:hAnsi="宋体" w:eastAsia="宋体" w:cs="宋体"/>
          <w:b/>
          <w:bCs/>
          <w:color w:val="auto"/>
          <w:szCs w:val="21"/>
          <w:highlight w:val="none"/>
        </w:rPr>
      </w:pPr>
    </w:p>
    <w:p w14:paraId="1EE30128">
      <w:pPr>
        <w:snapToGrid w:val="0"/>
        <w:ind w:left="549" w:hanging="549"/>
        <w:jc w:val="center"/>
        <w:rPr>
          <w:rFonts w:hint="eastAsia" w:ascii="宋体" w:hAnsi="宋体" w:eastAsia="宋体" w:cs="宋体"/>
          <w:bCs/>
          <w:color w:val="auto"/>
          <w:sz w:val="18"/>
          <w:szCs w:val="18"/>
          <w:highlight w:val="none"/>
        </w:rPr>
      </w:pPr>
    </w:p>
    <w:bookmarkEnd w:id="7"/>
    <w:p w14:paraId="4E5E0592">
      <w:pPr>
        <w:autoSpaceDE w:val="0"/>
        <w:autoSpaceDN w:val="0"/>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8"/>
          <w:szCs w:val="28"/>
          <w:highlight w:val="none"/>
          <w:lang w:val="zh-CN"/>
        </w:rPr>
        <w:t>符合性</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lang w:val="zh-CN"/>
        </w:rPr>
        <w:t>查</w:t>
      </w:r>
    </w:p>
    <w:p w14:paraId="3920C196">
      <w:pPr>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1585"/>
        <w:gridCol w:w="3825"/>
        <w:gridCol w:w="1153"/>
        <w:gridCol w:w="1512"/>
        <w:gridCol w:w="1330"/>
      </w:tblGrid>
      <w:tr w14:paraId="52DE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228" w:type="pct"/>
            <w:vMerge w:val="restart"/>
            <w:noWrap w:val="0"/>
            <w:vAlign w:val="center"/>
          </w:tcPr>
          <w:p w14:paraId="5FAC5588">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04" w:type="pct"/>
            <w:vMerge w:val="restart"/>
            <w:noWrap w:val="0"/>
            <w:vAlign w:val="center"/>
          </w:tcPr>
          <w:p w14:paraId="024B789F">
            <w:pPr>
              <w:jc w:val="cente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1940" w:type="pct"/>
            <w:vMerge w:val="restart"/>
            <w:noWrap w:val="0"/>
            <w:vAlign w:val="center"/>
          </w:tcPr>
          <w:p w14:paraId="04FDAD05">
            <w:pPr>
              <w:jc w:val="center"/>
              <w:rPr>
                <w:rFonts w:hint="eastAsia" w:ascii="宋体" w:hAnsi="宋体" w:eastAsia="宋体" w:cs="宋体"/>
                <w:color w:val="auto"/>
                <w:highlight w:val="none"/>
              </w:rPr>
            </w:pPr>
            <w:r>
              <w:rPr>
                <w:rFonts w:hint="eastAsia" w:ascii="宋体" w:hAnsi="宋体" w:eastAsia="宋体" w:cs="宋体"/>
                <w:color w:val="auto"/>
                <w:highlight w:val="none"/>
              </w:rPr>
              <w:t>评审标准</w:t>
            </w:r>
          </w:p>
        </w:tc>
        <w:tc>
          <w:tcPr>
            <w:tcW w:w="2026" w:type="pct"/>
            <w:gridSpan w:val="3"/>
            <w:noWrap w:val="0"/>
            <w:vAlign w:val="center"/>
          </w:tcPr>
          <w:p w14:paraId="208EEFA4">
            <w:pPr>
              <w:jc w:val="center"/>
              <w:rPr>
                <w:rFonts w:hint="eastAsia" w:ascii="宋体" w:hAnsi="宋体" w:eastAsia="宋体" w:cs="宋体"/>
                <w:color w:val="auto"/>
                <w:highlight w:val="none"/>
              </w:rPr>
            </w:pPr>
            <w:r>
              <w:rPr>
                <w:rFonts w:hint="eastAsia" w:ascii="宋体" w:hAnsi="宋体" w:eastAsia="宋体" w:cs="宋体"/>
                <w:color w:val="auto"/>
                <w:highlight w:val="none"/>
              </w:rPr>
              <w:t>投标人名称</w:t>
            </w:r>
          </w:p>
        </w:tc>
      </w:tr>
      <w:tr w14:paraId="5521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228" w:type="pct"/>
            <w:vMerge w:val="continue"/>
            <w:noWrap w:val="0"/>
            <w:vAlign w:val="center"/>
          </w:tcPr>
          <w:p w14:paraId="6218EB74">
            <w:pPr>
              <w:jc w:val="center"/>
              <w:rPr>
                <w:rFonts w:hint="eastAsia" w:ascii="宋体" w:hAnsi="宋体" w:eastAsia="宋体" w:cs="宋体"/>
                <w:color w:val="auto"/>
                <w:highlight w:val="none"/>
              </w:rPr>
            </w:pPr>
          </w:p>
        </w:tc>
        <w:tc>
          <w:tcPr>
            <w:tcW w:w="804" w:type="pct"/>
            <w:vMerge w:val="continue"/>
            <w:noWrap w:val="0"/>
            <w:vAlign w:val="center"/>
          </w:tcPr>
          <w:p w14:paraId="228BF676">
            <w:pPr>
              <w:jc w:val="center"/>
              <w:rPr>
                <w:rFonts w:hint="eastAsia" w:ascii="宋体" w:hAnsi="宋体" w:eastAsia="宋体" w:cs="宋体"/>
                <w:color w:val="auto"/>
                <w:highlight w:val="none"/>
              </w:rPr>
            </w:pPr>
          </w:p>
        </w:tc>
        <w:tc>
          <w:tcPr>
            <w:tcW w:w="1940" w:type="pct"/>
            <w:vMerge w:val="continue"/>
            <w:noWrap w:val="0"/>
            <w:vAlign w:val="center"/>
          </w:tcPr>
          <w:p w14:paraId="16F182F8">
            <w:pPr>
              <w:jc w:val="center"/>
              <w:rPr>
                <w:rFonts w:hint="eastAsia" w:ascii="宋体" w:hAnsi="宋体" w:eastAsia="宋体" w:cs="宋体"/>
                <w:color w:val="auto"/>
                <w:highlight w:val="none"/>
              </w:rPr>
            </w:pPr>
          </w:p>
        </w:tc>
        <w:tc>
          <w:tcPr>
            <w:tcW w:w="585" w:type="pct"/>
            <w:noWrap w:val="0"/>
            <w:vAlign w:val="center"/>
          </w:tcPr>
          <w:p w14:paraId="01D24EBA">
            <w:pPr>
              <w:jc w:val="center"/>
              <w:rPr>
                <w:rFonts w:hint="eastAsia" w:ascii="宋体" w:hAnsi="宋体" w:eastAsia="宋体" w:cs="宋体"/>
                <w:color w:val="auto"/>
                <w:highlight w:val="none"/>
              </w:rPr>
            </w:pPr>
          </w:p>
        </w:tc>
        <w:tc>
          <w:tcPr>
            <w:tcW w:w="767" w:type="pct"/>
            <w:noWrap w:val="0"/>
            <w:vAlign w:val="center"/>
          </w:tcPr>
          <w:p w14:paraId="75F7B59C">
            <w:pPr>
              <w:jc w:val="center"/>
              <w:rPr>
                <w:rFonts w:hint="eastAsia" w:ascii="宋体" w:hAnsi="宋体" w:eastAsia="宋体" w:cs="宋体"/>
                <w:color w:val="auto"/>
                <w:highlight w:val="none"/>
              </w:rPr>
            </w:pPr>
          </w:p>
        </w:tc>
        <w:tc>
          <w:tcPr>
            <w:tcW w:w="673" w:type="pct"/>
            <w:noWrap w:val="0"/>
            <w:vAlign w:val="center"/>
          </w:tcPr>
          <w:p w14:paraId="23E7F5B6">
            <w:pPr>
              <w:jc w:val="center"/>
              <w:rPr>
                <w:rFonts w:hint="eastAsia" w:ascii="宋体" w:hAnsi="宋体" w:eastAsia="宋体" w:cs="宋体"/>
                <w:color w:val="auto"/>
                <w:highlight w:val="none"/>
              </w:rPr>
            </w:pPr>
          </w:p>
        </w:tc>
      </w:tr>
      <w:tr w14:paraId="1C4E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28" w:type="pct"/>
            <w:noWrap w:val="0"/>
            <w:vAlign w:val="center"/>
          </w:tcPr>
          <w:p w14:paraId="4CA6D5F4">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04" w:type="pct"/>
            <w:noWrap w:val="0"/>
            <w:vAlign w:val="center"/>
          </w:tcPr>
          <w:p w14:paraId="7B2E941B">
            <w:pPr>
              <w:jc w:val="center"/>
              <w:rPr>
                <w:rFonts w:hint="eastAsia" w:ascii="宋体" w:hAnsi="宋体" w:eastAsia="宋体" w:cs="宋体"/>
                <w:color w:val="auto"/>
                <w:highlight w:val="none"/>
              </w:rPr>
            </w:pPr>
            <w:r>
              <w:rPr>
                <w:rFonts w:hint="eastAsia" w:ascii="宋体" w:hAnsi="宋体" w:eastAsia="宋体" w:cs="宋体"/>
                <w:color w:val="auto"/>
                <w:highlight w:val="none"/>
              </w:rPr>
              <w:t>投标内容</w:t>
            </w:r>
          </w:p>
        </w:tc>
        <w:tc>
          <w:tcPr>
            <w:tcW w:w="1940" w:type="pct"/>
            <w:noWrap w:val="0"/>
            <w:vAlign w:val="center"/>
          </w:tcPr>
          <w:p w14:paraId="36F84C34">
            <w:pPr>
              <w:jc w:val="left"/>
              <w:rPr>
                <w:rFonts w:hint="eastAsia" w:ascii="宋体" w:hAnsi="宋体" w:eastAsia="宋体" w:cs="宋体"/>
                <w:color w:val="auto"/>
                <w:highlight w:val="none"/>
              </w:rPr>
            </w:pPr>
            <w:r>
              <w:rPr>
                <w:rFonts w:hint="eastAsia" w:ascii="宋体" w:hAnsi="宋体" w:eastAsia="宋体" w:cs="宋体"/>
                <w:color w:val="auto"/>
                <w:highlight w:val="none"/>
              </w:rPr>
              <w:t>响应招标文件要求</w:t>
            </w:r>
          </w:p>
        </w:tc>
        <w:tc>
          <w:tcPr>
            <w:tcW w:w="585" w:type="pct"/>
            <w:noWrap w:val="0"/>
            <w:vAlign w:val="center"/>
          </w:tcPr>
          <w:p w14:paraId="105CDD3B">
            <w:pPr>
              <w:jc w:val="center"/>
              <w:rPr>
                <w:rFonts w:hint="eastAsia" w:ascii="宋体" w:hAnsi="宋体" w:eastAsia="宋体" w:cs="宋体"/>
                <w:color w:val="auto"/>
                <w:highlight w:val="none"/>
              </w:rPr>
            </w:pPr>
          </w:p>
        </w:tc>
        <w:tc>
          <w:tcPr>
            <w:tcW w:w="767" w:type="pct"/>
            <w:noWrap w:val="0"/>
            <w:vAlign w:val="center"/>
          </w:tcPr>
          <w:p w14:paraId="4DAB8E9C">
            <w:pPr>
              <w:jc w:val="center"/>
              <w:rPr>
                <w:rFonts w:hint="eastAsia" w:ascii="宋体" w:hAnsi="宋体" w:eastAsia="宋体" w:cs="宋体"/>
                <w:color w:val="auto"/>
                <w:highlight w:val="none"/>
              </w:rPr>
            </w:pPr>
          </w:p>
        </w:tc>
        <w:tc>
          <w:tcPr>
            <w:tcW w:w="673" w:type="pct"/>
            <w:noWrap w:val="0"/>
            <w:vAlign w:val="center"/>
          </w:tcPr>
          <w:p w14:paraId="33864E3D">
            <w:pPr>
              <w:jc w:val="center"/>
              <w:rPr>
                <w:rFonts w:hint="eastAsia" w:ascii="宋体" w:hAnsi="宋体" w:eastAsia="宋体" w:cs="宋体"/>
                <w:color w:val="auto"/>
                <w:highlight w:val="none"/>
              </w:rPr>
            </w:pPr>
          </w:p>
        </w:tc>
      </w:tr>
      <w:tr w14:paraId="2DBC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28" w:type="pct"/>
            <w:noWrap w:val="0"/>
            <w:vAlign w:val="center"/>
          </w:tcPr>
          <w:p w14:paraId="088C2BD4">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04" w:type="pct"/>
            <w:noWrap w:val="0"/>
            <w:vAlign w:val="center"/>
          </w:tcPr>
          <w:p w14:paraId="327606B6">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合同履行期限（</w:t>
            </w:r>
            <w:r>
              <w:rPr>
                <w:rFonts w:hint="eastAsia" w:ascii="宋体" w:hAnsi="宋体" w:eastAsia="宋体" w:cs="宋体"/>
                <w:color w:val="auto"/>
                <w:highlight w:val="none"/>
              </w:rPr>
              <w:t>交货期</w:t>
            </w:r>
            <w:r>
              <w:rPr>
                <w:rFonts w:hint="eastAsia" w:ascii="宋体" w:hAnsi="宋体" w:eastAsia="宋体" w:cs="宋体"/>
                <w:color w:val="auto"/>
                <w:highlight w:val="none"/>
                <w:lang w:val="en-US" w:eastAsia="zh-CN"/>
              </w:rPr>
              <w:t>）</w:t>
            </w:r>
          </w:p>
        </w:tc>
        <w:tc>
          <w:tcPr>
            <w:tcW w:w="1940" w:type="pct"/>
            <w:noWrap w:val="0"/>
            <w:vAlign w:val="center"/>
          </w:tcPr>
          <w:p w14:paraId="619D5E6E">
            <w:pPr>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订立后60日内，将全部货物送至长春市朝阳区工农大路605号，并且质保符合要求。如果供方没有按照合同规定的时间交货和提供服务，供方应向需方支付误期赔偿费。误期赔偿费每周按迟交货物的交货价或延期服务的服务费用的百分之一计收，直至交货或提供服务为止。一周按七天计算，不足七天按一周计算。但误期赔偿费的最高限额不超过合同价的百分之五。误期赔偿费可从应付货款和/或履约保证金中扣除。收取误期赔偿费不影响需方采取合同规定的其他补救措施的权利。在收取误期赔偿费期间，需方有权决定是否终止合同。</w:t>
            </w:r>
          </w:p>
        </w:tc>
        <w:tc>
          <w:tcPr>
            <w:tcW w:w="585" w:type="pct"/>
            <w:noWrap w:val="0"/>
            <w:vAlign w:val="center"/>
          </w:tcPr>
          <w:p w14:paraId="2B4F6F9E">
            <w:pPr>
              <w:jc w:val="center"/>
              <w:rPr>
                <w:rFonts w:hint="eastAsia" w:ascii="宋体" w:hAnsi="宋体" w:eastAsia="宋体" w:cs="宋体"/>
                <w:color w:val="auto"/>
                <w:highlight w:val="none"/>
              </w:rPr>
            </w:pPr>
          </w:p>
        </w:tc>
        <w:tc>
          <w:tcPr>
            <w:tcW w:w="767" w:type="pct"/>
            <w:noWrap w:val="0"/>
            <w:vAlign w:val="center"/>
          </w:tcPr>
          <w:p w14:paraId="262B4959">
            <w:pPr>
              <w:jc w:val="center"/>
              <w:rPr>
                <w:rFonts w:hint="eastAsia" w:ascii="宋体" w:hAnsi="宋体" w:eastAsia="宋体" w:cs="宋体"/>
                <w:color w:val="auto"/>
                <w:highlight w:val="none"/>
              </w:rPr>
            </w:pPr>
          </w:p>
        </w:tc>
        <w:tc>
          <w:tcPr>
            <w:tcW w:w="673" w:type="pct"/>
            <w:noWrap w:val="0"/>
            <w:vAlign w:val="center"/>
          </w:tcPr>
          <w:p w14:paraId="1123A387">
            <w:pPr>
              <w:jc w:val="center"/>
              <w:rPr>
                <w:rFonts w:hint="eastAsia" w:ascii="宋体" w:hAnsi="宋体" w:eastAsia="宋体" w:cs="宋体"/>
                <w:color w:val="auto"/>
                <w:highlight w:val="none"/>
              </w:rPr>
            </w:pPr>
          </w:p>
        </w:tc>
      </w:tr>
      <w:tr w14:paraId="7971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28" w:type="pct"/>
            <w:noWrap w:val="0"/>
            <w:vAlign w:val="center"/>
          </w:tcPr>
          <w:p w14:paraId="028B0B54">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804" w:type="pct"/>
            <w:noWrap w:val="0"/>
            <w:vAlign w:val="center"/>
          </w:tcPr>
          <w:p w14:paraId="31545F93">
            <w:pPr>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1940" w:type="pct"/>
            <w:noWrap w:val="0"/>
            <w:vAlign w:val="center"/>
          </w:tcPr>
          <w:p w14:paraId="556F9C1E">
            <w:pPr>
              <w:jc w:val="left"/>
              <w:rPr>
                <w:rFonts w:hint="eastAsia" w:ascii="宋体" w:hAnsi="宋体" w:eastAsia="宋体" w:cs="宋体"/>
                <w:color w:val="auto"/>
                <w:highlight w:val="none"/>
              </w:rPr>
            </w:pPr>
            <w:r>
              <w:rPr>
                <w:rFonts w:hint="eastAsia" w:ascii="宋体" w:hAnsi="宋体" w:eastAsia="宋体" w:cs="宋体"/>
                <w:color w:val="auto"/>
                <w:highlight w:val="none"/>
              </w:rPr>
              <w:t>投标截止之日后90天（日历天）</w:t>
            </w:r>
          </w:p>
        </w:tc>
        <w:tc>
          <w:tcPr>
            <w:tcW w:w="585" w:type="pct"/>
            <w:noWrap w:val="0"/>
            <w:vAlign w:val="center"/>
          </w:tcPr>
          <w:p w14:paraId="7D2507B8">
            <w:pPr>
              <w:jc w:val="center"/>
              <w:rPr>
                <w:rFonts w:hint="eastAsia" w:ascii="宋体" w:hAnsi="宋体" w:eastAsia="宋体" w:cs="宋体"/>
                <w:color w:val="auto"/>
                <w:highlight w:val="none"/>
              </w:rPr>
            </w:pPr>
          </w:p>
        </w:tc>
        <w:tc>
          <w:tcPr>
            <w:tcW w:w="767" w:type="pct"/>
            <w:noWrap w:val="0"/>
            <w:vAlign w:val="center"/>
          </w:tcPr>
          <w:p w14:paraId="1E3B3D44">
            <w:pPr>
              <w:jc w:val="center"/>
              <w:rPr>
                <w:rFonts w:hint="eastAsia" w:ascii="宋体" w:hAnsi="宋体" w:eastAsia="宋体" w:cs="宋体"/>
                <w:color w:val="auto"/>
                <w:highlight w:val="none"/>
              </w:rPr>
            </w:pPr>
          </w:p>
        </w:tc>
        <w:tc>
          <w:tcPr>
            <w:tcW w:w="673" w:type="pct"/>
            <w:noWrap w:val="0"/>
            <w:vAlign w:val="center"/>
          </w:tcPr>
          <w:p w14:paraId="4D1454E0">
            <w:pPr>
              <w:jc w:val="center"/>
              <w:rPr>
                <w:rFonts w:hint="eastAsia" w:ascii="宋体" w:hAnsi="宋体" w:eastAsia="宋体" w:cs="宋体"/>
                <w:color w:val="auto"/>
                <w:highlight w:val="none"/>
              </w:rPr>
            </w:pPr>
          </w:p>
        </w:tc>
      </w:tr>
      <w:tr w14:paraId="35FA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28" w:type="pct"/>
            <w:noWrap w:val="0"/>
            <w:vAlign w:val="center"/>
          </w:tcPr>
          <w:p w14:paraId="1BE23121">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804" w:type="pct"/>
            <w:noWrap w:val="0"/>
            <w:vAlign w:val="center"/>
          </w:tcPr>
          <w:p w14:paraId="3FDECA2A">
            <w:pPr>
              <w:jc w:val="center"/>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1940" w:type="pct"/>
            <w:noWrap w:val="0"/>
            <w:vAlign w:val="center"/>
          </w:tcPr>
          <w:p w14:paraId="7FA2E19A">
            <w:pPr>
              <w:jc w:val="left"/>
              <w:rPr>
                <w:rFonts w:hint="eastAsia" w:ascii="宋体" w:hAnsi="宋体" w:eastAsia="宋体" w:cs="宋体"/>
                <w:color w:val="auto"/>
                <w:highlight w:val="none"/>
              </w:rPr>
            </w:pPr>
            <w:r>
              <w:rPr>
                <w:rFonts w:hint="eastAsia" w:ascii="宋体" w:hAnsi="宋体" w:eastAsia="宋体" w:cs="宋体"/>
                <w:color w:val="auto"/>
                <w:highlight w:val="none"/>
              </w:rPr>
              <w:t>按照</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规定递交投标保证金</w:t>
            </w:r>
          </w:p>
        </w:tc>
        <w:tc>
          <w:tcPr>
            <w:tcW w:w="585" w:type="pct"/>
            <w:noWrap w:val="0"/>
            <w:vAlign w:val="center"/>
          </w:tcPr>
          <w:p w14:paraId="69C6B2DE">
            <w:pPr>
              <w:jc w:val="center"/>
              <w:rPr>
                <w:rFonts w:hint="eastAsia" w:ascii="宋体" w:hAnsi="宋体" w:eastAsia="宋体" w:cs="宋体"/>
                <w:color w:val="auto"/>
                <w:highlight w:val="none"/>
              </w:rPr>
            </w:pPr>
          </w:p>
        </w:tc>
        <w:tc>
          <w:tcPr>
            <w:tcW w:w="767" w:type="pct"/>
            <w:noWrap w:val="0"/>
            <w:vAlign w:val="center"/>
          </w:tcPr>
          <w:p w14:paraId="2CD0E1E5">
            <w:pPr>
              <w:jc w:val="center"/>
              <w:rPr>
                <w:rFonts w:hint="eastAsia" w:ascii="宋体" w:hAnsi="宋体" w:eastAsia="宋体" w:cs="宋体"/>
                <w:color w:val="auto"/>
                <w:highlight w:val="none"/>
              </w:rPr>
            </w:pPr>
          </w:p>
        </w:tc>
        <w:tc>
          <w:tcPr>
            <w:tcW w:w="673" w:type="pct"/>
            <w:noWrap w:val="0"/>
            <w:vAlign w:val="center"/>
          </w:tcPr>
          <w:p w14:paraId="2C7D81A8">
            <w:pPr>
              <w:jc w:val="center"/>
              <w:rPr>
                <w:rFonts w:hint="eastAsia" w:ascii="宋体" w:hAnsi="宋体" w:eastAsia="宋体" w:cs="宋体"/>
                <w:color w:val="auto"/>
                <w:highlight w:val="none"/>
              </w:rPr>
            </w:pPr>
          </w:p>
        </w:tc>
      </w:tr>
      <w:tr w14:paraId="35C9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28" w:type="pct"/>
            <w:noWrap w:val="0"/>
            <w:vAlign w:val="center"/>
          </w:tcPr>
          <w:p w14:paraId="69FA8F95">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804" w:type="pct"/>
            <w:noWrap w:val="0"/>
            <w:vAlign w:val="center"/>
          </w:tcPr>
          <w:p w14:paraId="6497600A">
            <w:pPr>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1940" w:type="pct"/>
            <w:noWrap w:val="0"/>
            <w:vAlign w:val="center"/>
          </w:tcPr>
          <w:p w14:paraId="6871F53B">
            <w:pPr>
              <w:jc w:val="left"/>
              <w:rPr>
                <w:rFonts w:hint="eastAsia" w:ascii="宋体" w:hAnsi="宋体" w:eastAsia="宋体" w:cs="宋体"/>
                <w:color w:val="auto"/>
                <w:highlight w:val="none"/>
              </w:rPr>
            </w:pPr>
            <w:r>
              <w:rPr>
                <w:rFonts w:hint="eastAsia" w:ascii="宋体" w:hAnsi="宋体" w:eastAsia="宋体" w:cs="宋体"/>
                <w:color w:val="auto"/>
                <w:highlight w:val="none"/>
              </w:rPr>
              <w:t>只有一个有效报价，供应商的</w:t>
            </w:r>
            <w:r>
              <w:rPr>
                <w:rFonts w:hint="eastAsia" w:ascii="宋体" w:hAnsi="宋体" w:eastAsia="宋体" w:cs="宋体"/>
                <w:color w:val="auto"/>
                <w:highlight w:val="none"/>
                <w:lang w:val="en-US" w:eastAsia="zh-CN"/>
              </w:rPr>
              <w:t>总价及分项报价均</w:t>
            </w:r>
            <w:r>
              <w:rPr>
                <w:rFonts w:hint="eastAsia" w:ascii="宋体" w:hAnsi="宋体" w:eastAsia="宋体" w:cs="宋体"/>
                <w:color w:val="auto"/>
                <w:highlight w:val="none"/>
              </w:rPr>
              <w:t>未超过采购人给出的招标控制价</w:t>
            </w:r>
          </w:p>
        </w:tc>
        <w:tc>
          <w:tcPr>
            <w:tcW w:w="585" w:type="pct"/>
            <w:noWrap w:val="0"/>
            <w:vAlign w:val="center"/>
          </w:tcPr>
          <w:p w14:paraId="66BB0E8B">
            <w:pPr>
              <w:jc w:val="center"/>
              <w:rPr>
                <w:rFonts w:hint="eastAsia" w:ascii="宋体" w:hAnsi="宋体" w:eastAsia="宋体" w:cs="宋体"/>
                <w:color w:val="auto"/>
                <w:highlight w:val="none"/>
              </w:rPr>
            </w:pPr>
          </w:p>
        </w:tc>
        <w:tc>
          <w:tcPr>
            <w:tcW w:w="767" w:type="pct"/>
            <w:noWrap w:val="0"/>
            <w:vAlign w:val="center"/>
          </w:tcPr>
          <w:p w14:paraId="211DB5DE">
            <w:pPr>
              <w:jc w:val="center"/>
              <w:rPr>
                <w:rFonts w:hint="eastAsia" w:ascii="宋体" w:hAnsi="宋体" w:eastAsia="宋体" w:cs="宋体"/>
                <w:color w:val="auto"/>
                <w:highlight w:val="none"/>
              </w:rPr>
            </w:pPr>
          </w:p>
        </w:tc>
        <w:tc>
          <w:tcPr>
            <w:tcW w:w="673" w:type="pct"/>
            <w:noWrap w:val="0"/>
            <w:vAlign w:val="center"/>
          </w:tcPr>
          <w:p w14:paraId="7C83A81D">
            <w:pPr>
              <w:jc w:val="center"/>
              <w:rPr>
                <w:rFonts w:hint="eastAsia" w:ascii="宋体" w:hAnsi="宋体" w:eastAsia="宋体" w:cs="宋体"/>
                <w:color w:val="auto"/>
                <w:highlight w:val="none"/>
              </w:rPr>
            </w:pPr>
          </w:p>
        </w:tc>
      </w:tr>
      <w:tr w14:paraId="518F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28" w:type="pct"/>
            <w:noWrap w:val="0"/>
            <w:vAlign w:val="center"/>
          </w:tcPr>
          <w:p w14:paraId="0E603D71">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804" w:type="pct"/>
            <w:noWrap w:val="0"/>
            <w:vAlign w:val="center"/>
          </w:tcPr>
          <w:p w14:paraId="03F03D78">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质保期</w:t>
            </w:r>
          </w:p>
        </w:tc>
        <w:tc>
          <w:tcPr>
            <w:tcW w:w="1940" w:type="pct"/>
            <w:noWrap w:val="0"/>
            <w:vAlign w:val="center"/>
          </w:tcPr>
          <w:p w14:paraId="133FC79E">
            <w:pPr>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3年</w:t>
            </w:r>
          </w:p>
        </w:tc>
        <w:tc>
          <w:tcPr>
            <w:tcW w:w="585" w:type="pct"/>
            <w:noWrap w:val="0"/>
            <w:vAlign w:val="center"/>
          </w:tcPr>
          <w:p w14:paraId="1243F0E8">
            <w:pPr>
              <w:jc w:val="center"/>
              <w:rPr>
                <w:rFonts w:hint="eastAsia" w:ascii="宋体" w:hAnsi="宋体" w:eastAsia="宋体" w:cs="宋体"/>
                <w:color w:val="auto"/>
                <w:highlight w:val="none"/>
              </w:rPr>
            </w:pPr>
          </w:p>
        </w:tc>
        <w:tc>
          <w:tcPr>
            <w:tcW w:w="767" w:type="pct"/>
            <w:noWrap w:val="0"/>
            <w:vAlign w:val="center"/>
          </w:tcPr>
          <w:p w14:paraId="4C8CA4FB">
            <w:pPr>
              <w:jc w:val="center"/>
              <w:rPr>
                <w:rFonts w:hint="eastAsia" w:ascii="宋体" w:hAnsi="宋体" w:eastAsia="宋体" w:cs="宋体"/>
                <w:color w:val="auto"/>
                <w:highlight w:val="none"/>
              </w:rPr>
            </w:pPr>
          </w:p>
        </w:tc>
        <w:tc>
          <w:tcPr>
            <w:tcW w:w="673" w:type="pct"/>
            <w:noWrap w:val="0"/>
            <w:vAlign w:val="center"/>
          </w:tcPr>
          <w:p w14:paraId="5F501627">
            <w:pPr>
              <w:jc w:val="center"/>
              <w:rPr>
                <w:rFonts w:hint="eastAsia" w:ascii="宋体" w:hAnsi="宋体" w:eastAsia="宋体" w:cs="宋体"/>
                <w:color w:val="auto"/>
                <w:highlight w:val="none"/>
              </w:rPr>
            </w:pPr>
          </w:p>
        </w:tc>
      </w:tr>
      <w:tr w14:paraId="3BA9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28" w:type="pct"/>
            <w:noWrap w:val="0"/>
            <w:vAlign w:val="center"/>
          </w:tcPr>
          <w:p w14:paraId="01DC5ACB">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p>
        </w:tc>
        <w:tc>
          <w:tcPr>
            <w:tcW w:w="804" w:type="pct"/>
            <w:noWrap w:val="0"/>
            <w:vAlign w:val="center"/>
          </w:tcPr>
          <w:p w14:paraId="4FB5D3A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技术要求</w:t>
            </w:r>
          </w:p>
        </w:tc>
        <w:tc>
          <w:tcPr>
            <w:tcW w:w="1940" w:type="pct"/>
            <w:noWrap w:val="0"/>
            <w:vAlign w:val="center"/>
          </w:tcPr>
          <w:p w14:paraId="10868931">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符合招标文件第五章采购需求及技术规格要求中的技术条款的所有要求</w:t>
            </w:r>
          </w:p>
        </w:tc>
        <w:tc>
          <w:tcPr>
            <w:tcW w:w="585" w:type="pct"/>
            <w:noWrap w:val="0"/>
            <w:vAlign w:val="center"/>
          </w:tcPr>
          <w:p w14:paraId="7B7C9ED9">
            <w:pPr>
              <w:jc w:val="center"/>
              <w:rPr>
                <w:rFonts w:hint="eastAsia" w:ascii="宋体" w:hAnsi="宋体" w:eastAsia="宋体" w:cs="宋体"/>
                <w:color w:val="auto"/>
                <w:highlight w:val="none"/>
              </w:rPr>
            </w:pPr>
          </w:p>
        </w:tc>
        <w:tc>
          <w:tcPr>
            <w:tcW w:w="767" w:type="pct"/>
            <w:noWrap w:val="0"/>
            <w:vAlign w:val="center"/>
          </w:tcPr>
          <w:p w14:paraId="07430756">
            <w:pPr>
              <w:jc w:val="center"/>
              <w:rPr>
                <w:rFonts w:hint="eastAsia" w:ascii="宋体" w:hAnsi="宋体" w:eastAsia="宋体" w:cs="宋体"/>
                <w:color w:val="auto"/>
                <w:highlight w:val="none"/>
              </w:rPr>
            </w:pPr>
          </w:p>
        </w:tc>
        <w:tc>
          <w:tcPr>
            <w:tcW w:w="673" w:type="pct"/>
            <w:noWrap w:val="0"/>
            <w:vAlign w:val="center"/>
          </w:tcPr>
          <w:p w14:paraId="0DE3290B">
            <w:pPr>
              <w:jc w:val="center"/>
              <w:rPr>
                <w:rFonts w:hint="eastAsia" w:ascii="宋体" w:hAnsi="宋体" w:eastAsia="宋体" w:cs="宋体"/>
                <w:color w:val="auto"/>
                <w:highlight w:val="none"/>
              </w:rPr>
            </w:pPr>
          </w:p>
        </w:tc>
      </w:tr>
      <w:tr w14:paraId="68B9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28" w:type="pct"/>
            <w:noWrap w:val="0"/>
            <w:vAlign w:val="center"/>
          </w:tcPr>
          <w:p w14:paraId="5EB746D0">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804" w:type="pct"/>
            <w:noWrap w:val="0"/>
            <w:vAlign w:val="center"/>
          </w:tcPr>
          <w:p w14:paraId="166AF54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rPr>
              <w:t>要求</w:t>
            </w:r>
          </w:p>
        </w:tc>
        <w:tc>
          <w:tcPr>
            <w:tcW w:w="1940" w:type="pct"/>
            <w:noWrap w:val="0"/>
            <w:vAlign w:val="center"/>
          </w:tcPr>
          <w:p w14:paraId="19091309">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符合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lang w:val="en-US" w:eastAsia="zh-CN"/>
              </w:rPr>
              <w:t>第五章采购需求及技术规格要求中的商务要求的所有要求</w:t>
            </w:r>
          </w:p>
        </w:tc>
        <w:tc>
          <w:tcPr>
            <w:tcW w:w="585" w:type="pct"/>
            <w:noWrap w:val="0"/>
            <w:vAlign w:val="center"/>
          </w:tcPr>
          <w:p w14:paraId="30EDBB4C">
            <w:pPr>
              <w:jc w:val="center"/>
              <w:rPr>
                <w:rFonts w:hint="eastAsia" w:ascii="宋体" w:hAnsi="宋体" w:eastAsia="宋体" w:cs="宋体"/>
                <w:color w:val="auto"/>
                <w:highlight w:val="none"/>
              </w:rPr>
            </w:pPr>
          </w:p>
        </w:tc>
        <w:tc>
          <w:tcPr>
            <w:tcW w:w="767" w:type="pct"/>
            <w:noWrap w:val="0"/>
            <w:vAlign w:val="center"/>
          </w:tcPr>
          <w:p w14:paraId="0C0D33AB">
            <w:pPr>
              <w:jc w:val="center"/>
              <w:rPr>
                <w:rFonts w:hint="eastAsia" w:ascii="宋体" w:hAnsi="宋体" w:eastAsia="宋体" w:cs="宋体"/>
                <w:color w:val="auto"/>
                <w:highlight w:val="none"/>
              </w:rPr>
            </w:pPr>
          </w:p>
        </w:tc>
        <w:tc>
          <w:tcPr>
            <w:tcW w:w="673" w:type="pct"/>
            <w:noWrap w:val="0"/>
            <w:vAlign w:val="center"/>
          </w:tcPr>
          <w:p w14:paraId="3E74E824">
            <w:pPr>
              <w:jc w:val="center"/>
              <w:rPr>
                <w:rFonts w:hint="eastAsia" w:ascii="宋体" w:hAnsi="宋体" w:eastAsia="宋体" w:cs="宋体"/>
                <w:color w:val="auto"/>
                <w:highlight w:val="none"/>
              </w:rPr>
            </w:pPr>
          </w:p>
        </w:tc>
      </w:tr>
      <w:tr w14:paraId="05D2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2973" w:type="pct"/>
            <w:gridSpan w:val="3"/>
            <w:noWrap w:val="0"/>
            <w:vAlign w:val="center"/>
          </w:tcPr>
          <w:p w14:paraId="7A051F70">
            <w:pPr>
              <w:jc w:val="center"/>
              <w:rPr>
                <w:rFonts w:hint="eastAsia" w:ascii="宋体" w:hAnsi="宋体" w:eastAsia="宋体" w:cs="宋体"/>
                <w:color w:val="auto"/>
                <w:highlight w:val="none"/>
              </w:rPr>
            </w:pPr>
            <w:r>
              <w:rPr>
                <w:rFonts w:hint="eastAsia" w:ascii="宋体" w:hAnsi="宋体" w:eastAsia="宋体" w:cs="宋体"/>
                <w:color w:val="auto"/>
                <w:highlight w:val="none"/>
              </w:rPr>
              <w:t>评审结论</w:t>
            </w:r>
          </w:p>
        </w:tc>
        <w:tc>
          <w:tcPr>
            <w:tcW w:w="585" w:type="pct"/>
            <w:noWrap w:val="0"/>
            <w:vAlign w:val="center"/>
          </w:tcPr>
          <w:p w14:paraId="0E783899">
            <w:pPr>
              <w:jc w:val="center"/>
              <w:rPr>
                <w:rFonts w:hint="eastAsia" w:ascii="宋体" w:hAnsi="宋体" w:eastAsia="宋体" w:cs="宋体"/>
                <w:color w:val="auto"/>
                <w:highlight w:val="none"/>
              </w:rPr>
            </w:pPr>
          </w:p>
        </w:tc>
        <w:tc>
          <w:tcPr>
            <w:tcW w:w="767" w:type="pct"/>
            <w:noWrap w:val="0"/>
            <w:vAlign w:val="center"/>
          </w:tcPr>
          <w:p w14:paraId="39B47C79">
            <w:pPr>
              <w:jc w:val="center"/>
              <w:rPr>
                <w:rFonts w:hint="eastAsia" w:ascii="宋体" w:hAnsi="宋体" w:eastAsia="宋体" w:cs="宋体"/>
                <w:color w:val="auto"/>
                <w:highlight w:val="none"/>
              </w:rPr>
            </w:pPr>
          </w:p>
        </w:tc>
        <w:tc>
          <w:tcPr>
            <w:tcW w:w="673" w:type="pct"/>
            <w:noWrap w:val="0"/>
            <w:vAlign w:val="center"/>
          </w:tcPr>
          <w:p w14:paraId="4CBA9FBE">
            <w:pPr>
              <w:jc w:val="center"/>
              <w:rPr>
                <w:rFonts w:hint="eastAsia" w:ascii="宋体" w:hAnsi="宋体" w:eastAsia="宋体" w:cs="宋体"/>
                <w:color w:val="auto"/>
                <w:highlight w:val="none"/>
              </w:rPr>
            </w:pPr>
          </w:p>
        </w:tc>
      </w:tr>
      <w:tr w14:paraId="5DDE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5000" w:type="pct"/>
            <w:gridSpan w:val="6"/>
            <w:tcBorders>
              <w:bottom w:val="single" w:color="auto" w:sz="4" w:space="0"/>
            </w:tcBorders>
            <w:noWrap w:val="0"/>
            <w:vAlign w:val="center"/>
          </w:tcPr>
          <w:p w14:paraId="60D17D48">
            <w:pPr>
              <w:jc w:val="left"/>
              <w:rPr>
                <w:rFonts w:hint="eastAsia" w:ascii="宋体" w:hAnsi="宋体" w:eastAsia="宋体" w:cs="宋体"/>
                <w:color w:val="auto"/>
                <w:highlight w:val="none"/>
              </w:rPr>
            </w:pPr>
            <w:r>
              <w:rPr>
                <w:rFonts w:hint="eastAsia" w:ascii="宋体" w:hAnsi="宋体" w:eastAsia="宋体" w:cs="宋体"/>
                <w:color w:val="auto"/>
                <w:highlight w:val="none"/>
              </w:rPr>
              <w:t>评标委员会签字：</w:t>
            </w:r>
          </w:p>
          <w:p w14:paraId="2530D100">
            <w:pPr>
              <w:jc w:val="left"/>
              <w:rPr>
                <w:rFonts w:hint="eastAsia" w:ascii="宋体" w:hAnsi="宋体" w:eastAsia="宋体" w:cs="宋体"/>
                <w:color w:val="auto"/>
                <w:highlight w:val="none"/>
              </w:rPr>
            </w:pPr>
            <w:r>
              <w:rPr>
                <w:rFonts w:hint="eastAsia" w:ascii="宋体" w:hAnsi="宋体" w:eastAsia="宋体" w:cs="宋体"/>
                <w:color w:val="auto"/>
                <w:highlight w:val="none"/>
              </w:rPr>
              <w:t>年   月   日</w:t>
            </w:r>
          </w:p>
        </w:tc>
      </w:tr>
    </w:tbl>
    <w:p w14:paraId="6B15BE3C">
      <w:pPr>
        <w:rPr>
          <w:rFonts w:hint="eastAsia" w:ascii="宋体" w:hAnsi="宋体" w:eastAsia="宋体" w:cs="宋体"/>
          <w:color w:val="auto"/>
          <w:highlight w:val="none"/>
        </w:rPr>
      </w:pPr>
      <w:r>
        <w:rPr>
          <w:rFonts w:hint="eastAsia" w:ascii="宋体" w:hAnsi="宋体" w:eastAsia="宋体" w:cs="宋体"/>
          <w:color w:val="auto"/>
          <w:highlight w:val="none"/>
        </w:rPr>
        <w:t>注：（1）上述情况有一项不合格的，则符合性检查不合格，投标按废标处理，不进入下一步评审；</w:t>
      </w:r>
    </w:p>
    <w:p w14:paraId="7A40A2B8">
      <w:pPr>
        <w:rPr>
          <w:rFonts w:ascii="宋体" w:hAnsi="宋体" w:eastAsia="宋体"/>
          <w:b/>
          <w:color w:val="000000"/>
          <w:szCs w:val="21"/>
          <w:highlight w:val="none"/>
        </w:rPr>
      </w:pPr>
      <w:r>
        <w:rPr>
          <w:rFonts w:hint="eastAsia" w:ascii="宋体" w:hAnsi="宋体" w:eastAsia="宋体" w:cs="宋体"/>
          <w:color w:val="auto"/>
          <w:highlight w:val="none"/>
        </w:rPr>
        <w:t>（2）每个评审项目合格打“√”，不合格打“×”。评审结论写“合格”或“不合格”，不合格须注明原因。</w:t>
      </w:r>
      <w:bookmarkStart w:id="11" w:name="_Toc460776565"/>
      <w:r>
        <w:rPr>
          <w:rFonts w:hint="eastAsia"/>
          <w:color w:val="auto"/>
          <w:sz w:val="36"/>
          <w:szCs w:val="36"/>
          <w:lang w:val="zh-CN"/>
        </w:rPr>
        <w:br w:type="page"/>
      </w:r>
      <w:r>
        <w:rPr>
          <w:rFonts w:ascii="宋体" w:hAnsi="宋体" w:eastAsia="宋体"/>
          <w:b/>
          <w:color w:val="000000"/>
          <w:szCs w:val="21"/>
          <w:highlight w:val="none"/>
        </w:rPr>
        <w:t>附件：</w:t>
      </w:r>
    </w:p>
    <w:p w14:paraId="054FFC47">
      <w:pPr>
        <w:pStyle w:val="104"/>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lang w:val="en-US" w:eastAsia="zh-CN"/>
        </w:rPr>
        <w:t>关于进一步加大政府采购支持中小企业力度的通知</w:t>
      </w:r>
    </w:p>
    <w:p w14:paraId="27D3FE65">
      <w:pPr>
        <w:pStyle w:val="104"/>
        <w:snapToGrid/>
        <w:spacing w:line="36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财库〔2022〕19号</w:t>
      </w:r>
    </w:p>
    <w:p w14:paraId="60D2D659">
      <w:pPr>
        <w:pStyle w:val="104"/>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各中央预算单位，各省、自治区、直辖市、计划单列市财政厅（局），新疆生产建设兵团财政局：</w:t>
      </w:r>
    </w:p>
    <w:p w14:paraId="75B3CD61">
      <w:pPr>
        <w:pStyle w:val="104"/>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B6A09E4">
      <w:pPr>
        <w:pStyle w:val="104"/>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961697A">
      <w:pPr>
        <w:pStyle w:val="104"/>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663E34B">
      <w:pPr>
        <w:pStyle w:val="104"/>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8BF2CC8">
      <w:pPr>
        <w:pStyle w:val="104"/>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四、认真做好组织实施。各地区、各部门应当加强组织领导，明确工作责任，细化执行要求，强化监督检查，确保国务院部署落实到位，对通知执行中出现的问题要及时向财政部报告。</w:t>
      </w:r>
    </w:p>
    <w:p w14:paraId="2CF1C37C">
      <w:pPr>
        <w:pStyle w:val="104"/>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本通知自2022年7月1日起执行。</w:t>
      </w:r>
    </w:p>
    <w:p w14:paraId="7110FB64">
      <w:pPr>
        <w:pStyle w:val="104"/>
        <w:keepNext w:val="0"/>
        <w:keepLines w:val="0"/>
        <w:pageBreakBefore w:val="0"/>
        <w:widowControl w:val="0"/>
        <w:snapToGrid/>
        <w:spacing w:line="312"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rPr>
        <w:t>　　财  政  部</w:t>
      </w:r>
    </w:p>
    <w:p w14:paraId="15D99078">
      <w:pPr>
        <w:pStyle w:val="104"/>
        <w:keepNext w:val="0"/>
        <w:keepLines w:val="0"/>
        <w:pageBreakBefore w:val="0"/>
        <w:widowControl w:val="0"/>
        <w:snapToGrid/>
        <w:spacing w:line="312" w:lineRule="auto"/>
        <w:ind w:firstLine="480" w:firstLineChars="200"/>
        <w:jc w:val="right"/>
        <w:rPr>
          <w:rFonts w:ascii="宋体" w:hAnsi="宋体" w:eastAsia="宋体"/>
          <w:color w:val="000000"/>
          <w:highlight w:val="none"/>
        </w:rPr>
      </w:pPr>
      <w:r>
        <w:rPr>
          <w:rFonts w:ascii="宋体" w:hAnsi="宋体" w:eastAsia="宋体"/>
          <w:color w:val="000000"/>
          <w:sz w:val="24"/>
          <w:szCs w:val="24"/>
          <w:highlight w:val="none"/>
        </w:rPr>
        <w:t>　　2022年5月30日</w:t>
      </w:r>
    </w:p>
    <w:p w14:paraId="09BE02D1">
      <w:pPr>
        <w:pStyle w:val="104"/>
        <w:snapToGrid/>
        <w:spacing w:line="312" w:lineRule="auto"/>
        <w:ind w:firstLine="482" w:firstLineChars="200"/>
        <w:jc w:val="center"/>
        <w:outlineLvl w:val="9"/>
        <w:rPr>
          <w:rFonts w:ascii="宋体" w:hAnsi="宋体" w:eastAsia="宋体"/>
          <w:b/>
          <w:color w:val="000000"/>
          <w:sz w:val="24"/>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关于印发《政府采购促进中小企业发展管理办法》的通知</w:t>
      </w:r>
    </w:p>
    <w:p w14:paraId="329BD936">
      <w:pPr>
        <w:pStyle w:val="104"/>
        <w:snapToGrid/>
        <w:spacing w:line="312" w:lineRule="auto"/>
        <w:ind w:firstLine="480" w:firstLineChars="200"/>
        <w:jc w:val="center"/>
        <w:outlineLvl w:val="9"/>
        <w:rPr>
          <w:rFonts w:ascii="宋体" w:hAnsi="宋体" w:eastAsia="宋体"/>
          <w:bCs/>
          <w:color w:val="000000"/>
          <w:sz w:val="24"/>
          <w:szCs w:val="24"/>
          <w:highlight w:val="none"/>
        </w:rPr>
      </w:pPr>
      <w:bookmarkStart w:id="12" w:name="_Toc18113"/>
      <w:r>
        <w:rPr>
          <w:rFonts w:ascii="宋体" w:hAnsi="宋体" w:eastAsia="宋体"/>
          <w:bCs/>
          <w:color w:val="000000"/>
          <w:sz w:val="24"/>
          <w:szCs w:val="24"/>
          <w:highlight w:val="none"/>
        </w:rPr>
        <w:t>财库〔2020〕46号</w:t>
      </w:r>
      <w:bookmarkEnd w:id="12"/>
    </w:p>
    <w:p w14:paraId="4F6E7BD0">
      <w:pPr>
        <w:pStyle w:val="104"/>
        <w:snapToGrid/>
        <w:spacing w:line="360" w:lineRule="auto"/>
        <w:rPr>
          <w:rFonts w:ascii="宋体" w:hAnsi="宋体" w:eastAsia="宋体"/>
          <w:bCs/>
          <w:color w:val="000000"/>
          <w:sz w:val="24"/>
          <w:szCs w:val="24"/>
          <w:highlight w:val="none"/>
        </w:rPr>
      </w:pPr>
      <w:r>
        <w:rPr>
          <w:rFonts w:ascii="宋体" w:hAnsi="宋体" w:eastAsia="宋体"/>
          <w:bCs/>
          <w:color w:val="000000"/>
          <w:sz w:val="24"/>
          <w:szCs w:val="24"/>
          <w:highlight w:val="none"/>
        </w:rPr>
        <w:t>各中央预算单位办公厅（室），各省、自治区、直辖市、计划单列市财政厅（局）、工业和信息化主管部门，新疆生产建设兵团财政局、工业和信息化主管部门：</w:t>
      </w:r>
    </w:p>
    <w:p w14:paraId="66705EAD">
      <w:pPr>
        <w:pStyle w:val="104"/>
        <w:snapToGrid/>
        <w:spacing w:line="360" w:lineRule="auto"/>
        <w:ind w:firstLine="480" w:firstLineChars="200"/>
        <w:rPr>
          <w:rFonts w:ascii="宋体" w:hAnsi="宋体" w:eastAsia="宋体"/>
          <w:bCs/>
          <w:color w:val="000000"/>
          <w:sz w:val="24"/>
          <w:szCs w:val="24"/>
          <w:highlight w:val="none"/>
        </w:rPr>
      </w:pPr>
      <w:r>
        <w:rPr>
          <w:rFonts w:ascii="宋体" w:hAnsi="宋体" w:eastAsia="宋体"/>
          <w:bCs/>
          <w:color w:val="000000"/>
          <w:sz w:val="24"/>
          <w:szCs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88FDC68">
      <w:pPr>
        <w:pStyle w:val="104"/>
        <w:pageBreakBefore w:val="0"/>
        <w:widowControl/>
        <w:wordWrap w:val="0"/>
        <w:snapToGrid/>
        <w:spacing w:line="360" w:lineRule="auto"/>
        <w:jc w:val="center"/>
        <w:rPr>
          <w:rFonts w:ascii="宋体" w:hAnsi="宋体" w:eastAsia="宋体"/>
          <w:b/>
          <w:bCs/>
          <w:color w:val="000000"/>
          <w:sz w:val="24"/>
          <w:szCs w:val="24"/>
          <w:highlight w:val="none"/>
        </w:rPr>
      </w:pPr>
      <w:r>
        <w:rPr>
          <w:rFonts w:ascii="宋体" w:hAnsi="宋体" w:eastAsia="宋体"/>
          <w:b/>
          <w:bCs/>
          <w:color w:val="000000"/>
          <w:sz w:val="24"/>
          <w:szCs w:val="24"/>
          <w:highlight w:val="none"/>
          <w:lang w:bidi="en-US"/>
        </w:rPr>
        <w:t>政府采购促进中小企业发展管理办法</w:t>
      </w:r>
    </w:p>
    <w:p w14:paraId="375E6595">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第一条为了发挥政府采购的政策功能，促进中小企业健康发展，根据《中华人民共和国政府采购法》、《中华人民共和国中小企业促进法》等有关法律法规，制定本办法。</w:t>
      </w:r>
    </w:p>
    <w:p w14:paraId="32EA8398">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0DCE70">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第三条采购人在政府采购活动中应当通过加强采购需求管理，落实预留采购份额、价格评审优惠、优先采购等措施，提高中小企业在政府采购中的份额，支持中小企业发展。</w:t>
      </w:r>
    </w:p>
    <w:p w14:paraId="68CD9ED5">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第四条在政府采购活动中，供应商提供的货物、工程或者服务符合下列情形的，享受本办法规定的中小企业扶持政策：</w:t>
      </w:r>
    </w:p>
    <w:p w14:paraId="137CD7B6">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(一)在货物采购项目中，货物由中小企业制造，即货物由中小企业生产且使用该中小企业商号或者注册商标；</w:t>
      </w:r>
    </w:p>
    <w:p w14:paraId="6635B41D">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(二)在工程采购项目中，工程由中小企业承建，即工程施工单位为中小企业；</w:t>
      </w:r>
    </w:p>
    <w:p w14:paraId="371710F4">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CFBE98F">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E848E26">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六条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50F0D5C">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符合下列情形之一的，可不专门面向中小企业预留采购份额：</w:t>
      </w:r>
    </w:p>
    <w:p w14:paraId="2D650737">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(一)法律法规和国家有关政策明确规定优先或者应当面向事业单位、社会组织等非企业主体采购的；</w:t>
      </w:r>
    </w:p>
    <w:p w14:paraId="68F11085">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(二)因确需使用不可替代的专利、专有技术，基础设施限制，或者提供特定公共服务等原因，只能从中小企业之外的供应商处采购的；</w:t>
      </w:r>
    </w:p>
    <w:p w14:paraId="6C8090E1">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(三)按照本办法规定预留采购份额无法确保充分供应、充分竞争，或者存在可能影响政府采购目标实现的情形；</w:t>
      </w:r>
    </w:p>
    <w:p w14:paraId="37D9A98E">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(四)框架协议采购项目；</w:t>
      </w:r>
    </w:p>
    <w:p w14:paraId="04489A14">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(五)省级以上人民政府财政部门规定的其他情形。除上述情形外，其他均为适宜由中小企业提供的情形。</w:t>
      </w:r>
    </w:p>
    <w:p w14:paraId="307D958C">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第七条采购限额标准以上，200万元以下的货物和服务采购项目、400万元以下的工程采购项目，适宜由中小企业提供的，采购人应当专门面向中小企业采购。</w:t>
      </w:r>
    </w:p>
    <w:p w14:paraId="5903033E">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八条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724A0F0">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(一)将采购项目整体或者设置采购包专门面向中小企业采购；</w:t>
      </w:r>
    </w:p>
    <w:p w14:paraId="42FE0A03">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(二)要求供应商以联合体形式参加采购活动，且联合体中中小企业承担的部分达到一定比例；</w:t>
      </w:r>
    </w:p>
    <w:p w14:paraId="1064DE44">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(三)要求获得采购合同的供应商将采购项目中的一定比例分包给一家或者多家中小企业。组成联合体或者接受分包合同的中小企业与联合体内其他企业、分包企业之间不得存在直接控股、管理关系。</w:t>
      </w:r>
    </w:p>
    <w:p w14:paraId="4AB204D0">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九条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A9E6768">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条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642E00A">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一条中小企业参加政府采购活动，应当出具本办法规定的《中小企业声明函》(附1)，否则不得享受相关中小企业扶持政策。任何单位和个人不得要求供应商提供《中小企业声明函》之外的中小企业身份证明文件。</w:t>
      </w:r>
    </w:p>
    <w:p w14:paraId="0E96E2B2">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第十二条采购项目涉及中小企业采购的，</w:t>
      </w:r>
      <w:r>
        <w:rPr>
          <w:rFonts w:ascii="宋体" w:hAnsi="宋体" w:eastAsia="宋体"/>
          <w:color w:val="000000"/>
          <w:sz w:val="24"/>
          <w:szCs w:val="24"/>
          <w:highlight w:val="none"/>
          <w:lang w:eastAsia="zh-CN" w:bidi="en-US"/>
        </w:rPr>
        <w:t>招标文件</w:t>
      </w:r>
      <w:r>
        <w:rPr>
          <w:rFonts w:ascii="宋体" w:hAnsi="宋体" w:eastAsia="宋体"/>
          <w:color w:val="000000"/>
          <w:sz w:val="24"/>
          <w:szCs w:val="24"/>
          <w:highlight w:val="none"/>
          <w:lang w:bidi="en-US"/>
        </w:rPr>
        <w:t>应当明确以下内容：</w:t>
      </w:r>
    </w:p>
    <w:p w14:paraId="2EAA6E84">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(一)预留份额的采购项目或者采购包，明确该项目或相关采购包专门面向中小企业采购，以及相关标的及预算金额；</w:t>
      </w:r>
    </w:p>
    <w:p w14:paraId="32C1033A">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(二)要求以联合体形式参加或者合同分包的，明确联合协议或者分包意向协议中中小企业合同金额应当达到的比例，并作为供应商资格条件；</w:t>
      </w:r>
    </w:p>
    <w:p w14:paraId="34D6E2B9">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(三)非预留份额的采购项目或者采购包，明确有关价格扣除比例或者价格分加分比例；</w:t>
      </w:r>
    </w:p>
    <w:p w14:paraId="6A082B6B">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(四)规定依据本办法规定享受扶持政策获得政府采购合同的，小微企业不得将合同分包给大中型企业，中型企业不得将合同分包给大型企业；</w:t>
      </w:r>
    </w:p>
    <w:p w14:paraId="1C010B77">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(五)采购人认为具备相关条件的，明确对中小企业在资金支付期限、预付款比例等方面的优惠措施；</w:t>
      </w:r>
    </w:p>
    <w:p w14:paraId="7106305D">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(六)明确采购标的对应的中小企业划分标准所属行业；</w:t>
      </w:r>
    </w:p>
    <w:p w14:paraId="6B6F3058">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(七)法律法规和省级以上人民政府财政部门规定的其他事项。</w:t>
      </w:r>
    </w:p>
    <w:p w14:paraId="1CF41928">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lang w:bidi="en-US"/>
        </w:rPr>
      </w:pPr>
      <w:r>
        <w:rPr>
          <w:rFonts w:ascii="宋体" w:hAnsi="宋体" w:eastAsia="宋体"/>
          <w:color w:val="000000"/>
          <w:sz w:val="24"/>
          <w:szCs w:val="24"/>
          <w:highlight w:val="none"/>
          <w:lang w:bidi="en-US"/>
        </w:rPr>
        <w:t>第十三条中标、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享受本办法规定的中小企业扶持政策的，采购人、采购代理机构应当随中标、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结果公开中标、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的《中小企业声明函》。</w:t>
      </w:r>
    </w:p>
    <w:p w14:paraId="7FAE6257">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适用招标投标法的政府采购工程建设项目，应当在公示</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候选人时公开</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候选人的《中小企业声明函》。</w:t>
      </w:r>
    </w:p>
    <w:p w14:paraId="46EAEF35">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四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A2C1D9">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第十五条鼓励各地区、各部门在采购活动中允许中小企业引入信用担保手段，为中小企业在投标(响应)保证、履约保证等方面提供专业化服务。鼓励中小企业依法合规通过政府采购合同融资。</w:t>
      </w:r>
    </w:p>
    <w:p w14:paraId="53CC5722">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第十六条政府采购监督检查、投诉处理及政府采购行政处罚中对中小企业的认定，由货物制造商或者工程、服务供应商注册登记所在地的县级以上人民政府中小企业主管部门负责。</w:t>
      </w:r>
    </w:p>
    <w:p w14:paraId="60CFF535">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中小企业主管部门应当在收到财政部门或者有关招标投标行政监督部门关于协助开展中小企业认定函后10个工作日内做出书面答复。</w:t>
      </w:r>
    </w:p>
    <w:p w14:paraId="7DE1ADA7">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第十七条各地区、各部门应当对涉及中小企业采购的预算项目实施全过程绩效管理，合理设置绩效目标和指标，落实扶持中小企业有关政策要求，定期开展绩效监控和评价，</w:t>
      </w:r>
    </w:p>
    <w:p w14:paraId="436BACC3">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强化绩效评价结果应用。</w:t>
      </w:r>
    </w:p>
    <w:p w14:paraId="3F6AFBCE">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八条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77C6325">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D2736CD">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第二十条供应商按照本办法规定提供声明函内容不实的，属于提供虚假材料谋取中标、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，依照《中华人民共和国政府采购法》等国家有关规定追究相应责任。</w:t>
      </w:r>
    </w:p>
    <w:p w14:paraId="3018B530">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适用招标投标法的政府采购工程建设项目，供应商按照本办法规定提供声明函内容不实的，属于弄虚作假骗取中标，依照《中华人民共和国招标投标法》等国家有关规定追究相应责任。</w:t>
      </w:r>
    </w:p>
    <w:p w14:paraId="0D614119">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ED87BC3">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第二十二条对外援助项目、国家相关资格或者资质管理制度另有规定的项目，不适用本办法。</w:t>
      </w:r>
    </w:p>
    <w:p w14:paraId="08D38644">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第二十三条关于视同中小企业的其他主体的政府采购扶持政策，由财政部会同有关部门另行规定。</w:t>
      </w:r>
    </w:p>
    <w:p w14:paraId="3B43C2EC">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第二十四条省级财政部门可以会同中小企业主管部门根据本办法的规定制定具体实施办法。</w:t>
      </w:r>
    </w:p>
    <w:p w14:paraId="53DC6553">
      <w:pPr>
        <w:pStyle w:val="104"/>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第二十五条本办法自2021年1月1日起施行。《财政部工业和信息化部关于印发〈政府采购促进中小企业发展暂行办法〉的通知》(财库﹝2011﹞181号)同时废止。</w:t>
      </w:r>
    </w:p>
    <w:p w14:paraId="75020774">
      <w:pPr>
        <w:pStyle w:val="104"/>
        <w:pageBreakBefore w:val="0"/>
        <w:wordWrap w:val="0"/>
        <w:snapToGrid/>
        <w:spacing w:line="360" w:lineRule="auto"/>
        <w:jc w:val="center"/>
        <w:rPr>
          <w:rFonts w:ascii="宋体" w:hAnsi="宋体" w:eastAsia="宋体"/>
          <w:color w:val="000000"/>
          <w:highlight w:val="none"/>
        </w:rPr>
        <w:sectPr>
          <w:pgSz w:w="11906" w:h="16838"/>
          <w:pgMar w:top="1134" w:right="1134" w:bottom="1134" w:left="1134" w:header="1134" w:footer="851" w:gutter="0"/>
          <w:cols w:space="1701" w:num="1"/>
          <w:docGrid w:type="lines" w:linePitch="312" w:charSpace="0"/>
        </w:sectPr>
      </w:pPr>
    </w:p>
    <w:p w14:paraId="4DF25312">
      <w:pPr>
        <w:pStyle w:val="104"/>
        <w:snapToGrid/>
        <w:jc w:val="center"/>
        <w:rPr>
          <w:rFonts w:ascii="宋体" w:hAnsi="宋体" w:eastAsia="宋体"/>
          <w:b/>
          <w:bCs/>
          <w:color w:val="000000"/>
          <w:sz w:val="32"/>
          <w:szCs w:val="32"/>
          <w:highlight w:val="none"/>
        </w:rPr>
      </w:pPr>
      <w:r>
        <w:rPr>
          <w:rFonts w:ascii="宋体" w:hAnsi="宋体" w:eastAsia="宋体"/>
          <w:b/>
          <w:bCs/>
          <w:color w:val="000000"/>
          <w:sz w:val="32"/>
          <w:szCs w:val="32"/>
          <w:highlight w:val="none"/>
        </w:rPr>
        <w:t>中小企业声明函(货物)</w:t>
      </w:r>
    </w:p>
    <w:p w14:paraId="7D1D6D5B">
      <w:pPr>
        <w:pStyle w:val="104"/>
        <w:snapToGrid/>
        <w:spacing w:line="360" w:lineRule="auto"/>
        <w:ind w:firstLine="480" w:firstLineChars="200"/>
        <w:rPr>
          <w:rFonts w:ascii="宋体" w:hAnsi="宋体" w:eastAsia="宋体"/>
          <w:color w:val="000000"/>
          <w:sz w:val="24"/>
          <w:szCs w:val="24"/>
          <w:highlight w:val="none"/>
        </w:rPr>
      </w:pPr>
    </w:p>
    <w:p w14:paraId="66BE5785">
      <w:pPr>
        <w:pStyle w:val="104"/>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本公司(联合体)郑重声明，根据《政府采购促进中小企业发展管理办法》(财库(2020)46号)的规定，本公司(联合体)参加</w:t>
      </w:r>
      <w:r>
        <w:rPr>
          <w:rFonts w:ascii="宋体" w:hAnsi="宋体" w:eastAsia="宋体"/>
          <w:i/>
          <w:iCs/>
          <w:color w:val="000000"/>
          <w:sz w:val="24"/>
          <w:szCs w:val="24"/>
          <w:highlight w:val="none"/>
          <w:u w:val="single"/>
        </w:rPr>
        <w:t>(单位名称)</w:t>
      </w:r>
      <w:r>
        <w:rPr>
          <w:rFonts w:ascii="宋体" w:hAnsi="宋体" w:eastAsia="宋体"/>
          <w:color w:val="000000"/>
          <w:sz w:val="24"/>
          <w:szCs w:val="24"/>
          <w:highlight w:val="none"/>
        </w:rPr>
        <w:t>的</w:t>
      </w:r>
      <w:r>
        <w:rPr>
          <w:rFonts w:ascii="宋体" w:hAnsi="宋体" w:eastAsia="宋体"/>
          <w:i/>
          <w:iCs/>
          <w:color w:val="000000"/>
          <w:sz w:val="24"/>
          <w:szCs w:val="24"/>
          <w:highlight w:val="none"/>
          <w:u w:val="single"/>
        </w:rPr>
        <w:t>(项目名称)</w:t>
      </w:r>
      <w:r>
        <w:rPr>
          <w:rFonts w:ascii="宋体" w:hAnsi="宋体" w:eastAsia="宋体"/>
          <w:color w:val="000000"/>
          <w:sz w:val="24"/>
          <w:szCs w:val="24"/>
          <w:highlight w:val="none"/>
        </w:rPr>
        <w:t>采购活动，提供的货物全部由符合政策要求的中小企业制造。相关企业(含联合体中的中小企业、签订分包意向协议的中小企业)的具体情况如下</w:t>
      </w:r>
      <w:r>
        <w:rPr>
          <w:rFonts w:ascii="宋体" w:hAnsi="宋体" w:eastAsia="宋体"/>
          <w:color w:val="000000"/>
          <w:sz w:val="24"/>
          <w:szCs w:val="24"/>
          <w:highlight w:val="none"/>
          <w:lang w:eastAsia="zh-CN"/>
        </w:rPr>
        <w:t>：</w:t>
      </w:r>
    </w:p>
    <w:p w14:paraId="64E7C234">
      <w:pPr>
        <w:pStyle w:val="104"/>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1</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rPr>
        <w:t>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rPr>
        <w:t>制造商为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24478D99">
      <w:pPr>
        <w:pStyle w:val="104"/>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2</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rPr>
        <w:t>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rPr>
        <w:t>制造商为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0DEC139F">
      <w:pPr>
        <w:pStyle w:val="104"/>
        <w:snapToGrid/>
        <w:spacing w:line="480" w:lineRule="auto"/>
        <w:ind w:firstLine="480" w:firstLineChars="200"/>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w:t>
      </w:r>
    </w:p>
    <w:p w14:paraId="418A6ACD">
      <w:pPr>
        <w:pStyle w:val="104"/>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以上企业，不属于大企业的分支机构，不存在控股股东为大企业的情形，也不存在与大企业的负责人为同一人的情形。</w:t>
      </w:r>
    </w:p>
    <w:p w14:paraId="3F405C4F">
      <w:pPr>
        <w:pStyle w:val="104"/>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本企业对上述声明内容的真实性负责。如有虚假，将依法承担相应责任。</w:t>
      </w:r>
    </w:p>
    <w:p w14:paraId="794CB440">
      <w:pPr>
        <w:pStyle w:val="104"/>
        <w:snapToGrid/>
        <w:spacing w:line="480" w:lineRule="auto"/>
        <w:jc w:val="center"/>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 xml:space="preserve">                        </w:t>
      </w:r>
    </w:p>
    <w:p w14:paraId="7A52D518">
      <w:pPr>
        <w:pStyle w:val="104"/>
        <w:snapToGrid/>
        <w:spacing w:line="48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企业名称(盖章):</w:t>
      </w:r>
    </w:p>
    <w:p w14:paraId="45563DFE">
      <w:pPr>
        <w:pStyle w:val="104"/>
        <w:snapToGrid/>
        <w:spacing w:line="48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日期:</w:t>
      </w:r>
    </w:p>
    <w:p w14:paraId="4953B13F">
      <w:pPr>
        <w:pStyle w:val="104"/>
        <w:snapToGrid/>
        <w:jc w:val="left"/>
        <w:rPr>
          <w:rFonts w:ascii="宋体" w:hAnsi="宋体" w:eastAsia="宋体"/>
          <w:b/>
          <w:bCs/>
          <w:color w:val="000000"/>
          <w:sz w:val="24"/>
          <w:szCs w:val="24"/>
          <w:highlight w:val="none"/>
          <w:lang w:val="en-US" w:eastAsia="zh-CN"/>
        </w:rPr>
      </w:pPr>
    </w:p>
    <w:p w14:paraId="43AED830">
      <w:pPr>
        <w:pStyle w:val="104"/>
        <w:snapToGrid/>
        <w:jc w:val="left"/>
        <w:rPr>
          <w:rFonts w:ascii="宋体" w:hAnsi="宋体" w:eastAsia="宋体"/>
          <w:b/>
          <w:bCs/>
          <w:color w:val="000000"/>
          <w:sz w:val="24"/>
          <w:szCs w:val="24"/>
          <w:highlight w:val="none"/>
          <w:lang w:val="en-US" w:eastAsia="zh-CN"/>
        </w:rPr>
      </w:pPr>
    </w:p>
    <w:p w14:paraId="408B24FC">
      <w:pPr>
        <w:pStyle w:val="104"/>
        <w:snapToGrid/>
        <w:jc w:val="left"/>
        <w:rPr>
          <w:rFonts w:ascii="宋体" w:hAnsi="宋体" w:eastAsia="宋体"/>
          <w:b/>
          <w:bCs/>
          <w:color w:val="000000"/>
          <w:sz w:val="24"/>
          <w:szCs w:val="24"/>
          <w:highlight w:val="none"/>
          <w:lang w:val="en-US" w:eastAsia="zh-CN"/>
        </w:rPr>
      </w:pPr>
    </w:p>
    <w:p w14:paraId="1D1325AA">
      <w:pPr>
        <w:pStyle w:val="104"/>
        <w:snapToGrid/>
        <w:jc w:val="left"/>
        <w:rPr>
          <w:rFonts w:ascii="宋体" w:hAnsi="宋体" w:eastAsia="宋体"/>
          <w:b/>
          <w:bCs/>
          <w:color w:val="000000"/>
          <w:sz w:val="24"/>
          <w:szCs w:val="24"/>
          <w:highlight w:val="none"/>
          <w:lang w:val="en-US" w:eastAsia="zh-CN"/>
        </w:rPr>
      </w:pPr>
      <w:r>
        <w:rPr>
          <w:rFonts w:ascii="宋体" w:hAnsi="宋体" w:eastAsia="宋体"/>
          <w:b/>
          <w:bCs/>
          <w:color w:val="000000"/>
          <w:sz w:val="24"/>
          <w:szCs w:val="24"/>
          <w:highlight w:val="none"/>
          <w:lang w:val="en-US" w:eastAsia="zh-CN"/>
        </w:rPr>
        <w:t>注：从业人员、营业收入、资产总额填报上一年度数据，无上一年度数据的新成立企业可不填报。</w:t>
      </w:r>
    </w:p>
    <w:p w14:paraId="40DEBEED">
      <w:pPr>
        <w:pStyle w:val="104"/>
        <w:snapToGrid/>
        <w:jc w:val="center"/>
        <w:rPr>
          <w:rFonts w:ascii="宋体" w:hAnsi="宋体" w:eastAsia="宋体"/>
          <w:b/>
          <w:bCs/>
          <w:color w:val="000000"/>
          <w:sz w:val="32"/>
          <w:szCs w:val="32"/>
          <w:highlight w:val="none"/>
        </w:rPr>
      </w:pPr>
      <w:r>
        <w:rPr>
          <w:rFonts w:ascii="宋体" w:hAnsi="宋体" w:eastAsia="宋体"/>
          <w:b/>
          <w:bCs/>
          <w:color w:val="000000"/>
          <w:sz w:val="24"/>
          <w:szCs w:val="24"/>
          <w:highlight w:val="none"/>
          <w:lang w:val="en-US" w:eastAsia="zh-CN"/>
        </w:rPr>
        <w:br w:type="page"/>
      </w:r>
      <w:r>
        <w:rPr>
          <w:rFonts w:ascii="宋体" w:hAnsi="宋体" w:eastAsia="宋体"/>
          <w:b/>
          <w:bCs/>
          <w:color w:val="000000"/>
          <w:sz w:val="32"/>
          <w:szCs w:val="32"/>
          <w:highlight w:val="none"/>
        </w:rPr>
        <w:t>中小企业声明函(</w:t>
      </w:r>
      <w:r>
        <w:rPr>
          <w:rFonts w:ascii="宋体" w:hAnsi="宋体" w:eastAsia="宋体"/>
          <w:b/>
          <w:bCs/>
          <w:color w:val="000000"/>
          <w:sz w:val="32"/>
          <w:szCs w:val="32"/>
          <w:highlight w:val="none"/>
          <w:lang w:val="en-US" w:eastAsia="zh-CN"/>
        </w:rPr>
        <w:t>工程、服务</w:t>
      </w:r>
      <w:r>
        <w:rPr>
          <w:rFonts w:ascii="宋体" w:hAnsi="宋体" w:eastAsia="宋体"/>
          <w:b/>
          <w:bCs/>
          <w:color w:val="000000"/>
          <w:sz w:val="32"/>
          <w:szCs w:val="32"/>
          <w:highlight w:val="none"/>
        </w:rPr>
        <w:t>)</w:t>
      </w:r>
    </w:p>
    <w:p w14:paraId="4D5C9619">
      <w:pPr>
        <w:pStyle w:val="104"/>
        <w:snapToGrid/>
        <w:spacing w:line="360" w:lineRule="auto"/>
        <w:ind w:firstLine="480" w:firstLineChars="200"/>
        <w:rPr>
          <w:rFonts w:ascii="宋体" w:hAnsi="宋体" w:eastAsia="宋体"/>
          <w:color w:val="000000"/>
          <w:sz w:val="24"/>
          <w:szCs w:val="24"/>
          <w:highlight w:val="none"/>
        </w:rPr>
      </w:pPr>
    </w:p>
    <w:p w14:paraId="52152CD8">
      <w:pPr>
        <w:pStyle w:val="104"/>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本公司(联合体)郑重声明，根据《政府采购促进中小企业发展管理办法》(财库(2020)46号)的规定，本公司(联合体)参加</w:t>
      </w:r>
      <w:r>
        <w:rPr>
          <w:rFonts w:ascii="宋体" w:hAnsi="宋体" w:eastAsia="宋体"/>
          <w:i/>
          <w:iCs/>
          <w:color w:val="000000"/>
          <w:sz w:val="24"/>
          <w:szCs w:val="24"/>
          <w:highlight w:val="none"/>
          <w:u w:val="single"/>
        </w:rPr>
        <w:t>(单位名称)</w:t>
      </w:r>
      <w:r>
        <w:rPr>
          <w:rFonts w:ascii="宋体" w:hAnsi="宋体" w:eastAsia="宋体"/>
          <w:color w:val="000000"/>
          <w:sz w:val="24"/>
          <w:szCs w:val="24"/>
          <w:highlight w:val="none"/>
        </w:rPr>
        <w:t>的</w:t>
      </w:r>
      <w:r>
        <w:rPr>
          <w:rFonts w:ascii="宋体" w:hAnsi="宋体" w:eastAsia="宋体"/>
          <w:i/>
          <w:iCs/>
          <w:color w:val="000000"/>
          <w:sz w:val="24"/>
          <w:szCs w:val="24"/>
          <w:highlight w:val="none"/>
          <w:u w:val="single"/>
        </w:rPr>
        <w:t>(项目名称)</w:t>
      </w:r>
      <w:r>
        <w:rPr>
          <w:rFonts w:ascii="宋体" w:hAnsi="宋体" w:eastAsia="宋体"/>
          <w:color w:val="000000"/>
          <w:sz w:val="24"/>
          <w:szCs w:val="24"/>
          <w:highlight w:val="none"/>
        </w:rPr>
        <w:t>采购活动，</w:t>
      </w:r>
      <w:r>
        <w:rPr>
          <w:rFonts w:ascii="宋体" w:hAnsi="宋体" w:eastAsia="宋体"/>
          <w:color w:val="000000"/>
          <w:sz w:val="24"/>
          <w:szCs w:val="24"/>
          <w:highlight w:val="none"/>
          <w:lang w:val="en-US" w:eastAsia="zh-CN"/>
        </w:rPr>
        <w:t>工程的施工单位全部为</w:t>
      </w:r>
      <w:r>
        <w:rPr>
          <w:rFonts w:ascii="宋体" w:hAnsi="宋体" w:eastAsia="宋体"/>
          <w:color w:val="000000"/>
          <w:sz w:val="24"/>
          <w:szCs w:val="24"/>
          <w:highlight w:val="none"/>
        </w:rPr>
        <w:t>符合政策要求的中小企业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lang w:val="en-US" w:eastAsia="zh-CN"/>
        </w:rPr>
        <w:t>或者：服务全部由</w:t>
      </w:r>
      <w:r>
        <w:rPr>
          <w:rFonts w:ascii="宋体" w:hAnsi="宋体" w:eastAsia="宋体"/>
          <w:color w:val="000000"/>
          <w:sz w:val="24"/>
          <w:szCs w:val="24"/>
          <w:highlight w:val="none"/>
        </w:rPr>
        <w:t>符合政策要求的中小企业</w:t>
      </w:r>
      <w:r>
        <w:rPr>
          <w:rFonts w:ascii="宋体" w:hAnsi="宋体" w:eastAsia="宋体"/>
          <w:color w:val="000000"/>
          <w:sz w:val="24"/>
          <w:szCs w:val="24"/>
          <w:highlight w:val="none"/>
          <w:lang w:val="en-US" w:eastAsia="zh-CN"/>
        </w:rPr>
        <w:t>承接</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rPr>
        <w:t>。相关企业(含联合体中的中小企业、签订分包意向协议的中小企业)的具体情况如下</w:t>
      </w:r>
      <w:r>
        <w:rPr>
          <w:rFonts w:ascii="宋体" w:hAnsi="宋体" w:eastAsia="宋体"/>
          <w:color w:val="000000"/>
          <w:sz w:val="24"/>
          <w:szCs w:val="24"/>
          <w:highlight w:val="none"/>
          <w:lang w:eastAsia="zh-CN"/>
        </w:rPr>
        <w:t>：</w:t>
      </w:r>
    </w:p>
    <w:p w14:paraId="0AC253D6">
      <w:pPr>
        <w:pStyle w:val="104"/>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1</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lang w:val="en-US" w:eastAsia="zh-CN"/>
        </w:rPr>
        <w:t>承建（承接）企业为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21F10471">
      <w:pPr>
        <w:pStyle w:val="104"/>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2</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lang w:val="en-US" w:eastAsia="zh-CN"/>
        </w:rPr>
        <w:t>承建（承接）企业为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4ED7C88B">
      <w:pPr>
        <w:pStyle w:val="104"/>
        <w:snapToGrid/>
        <w:spacing w:line="480" w:lineRule="auto"/>
        <w:ind w:firstLine="480" w:firstLineChars="200"/>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w:t>
      </w:r>
    </w:p>
    <w:p w14:paraId="1BAE3DE8">
      <w:pPr>
        <w:pStyle w:val="104"/>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以上企业，不属于大企业的分支机构，不存在控股股东为大企业的情形，也不存在与大企业的负责人为同一人的情形。</w:t>
      </w:r>
    </w:p>
    <w:p w14:paraId="29658037">
      <w:pPr>
        <w:pStyle w:val="104"/>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本企业对上述声明内容的真实性负责。如有虚假，将依法承担相应责任。</w:t>
      </w:r>
    </w:p>
    <w:p w14:paraId="6867BF1A">
      <w:pPr>
        <w:pStyle w:val="104"/>
        <w:snapToGrid/>
        <w:spacing w:line="480" w:lineRule="auto"/>
        <w:jc w:val="center"/>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 xml:space="preserve">                        </w:t>
      </w:r>
    </w:p>
    <w:p w14:paraId="6644685D">
      <w:pPr>
        <w:pStyle w:val="104"/>
        <w:snapToGrid/>
        <w:spacing w:line="48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企业名称(盖章):</w:t>
      </w:r>
    </w:p>
    <w:p w14:paraId="35759567">
      <w:pPr>
        <w:pStyle w:val="104"/>
        <w:snapToGrid/>
        <w:spacing w:line="48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日期:</w:t>
      </w:r>
    </w:p>
    <w:p w14:paraId="124F77DE">
      <w:pPr>
        <w:pStyle w:val="104"/>
        <w:snapToGrid/>
        <w:jc w:val="left"/>
        <w:rPr>
          <w:rFonts w:ascii="宋体" w:hAnsi="宋体" w:eastAsia="宋体"/>
          <w:b/>
          <w:bCs/>
          <w:color w:val="000000"/>
          <w:sz w:val="24"/>
          <w:szCs w:val="24"/>
          <w:highlight w:val="none"/>
          <w:lang w:val="en-US" w:eastAsia="zh-CN"/>
        </w:rPr>
      </w:pPr>
    </w:p>
    <w:p w14:paraId="6E3E2AF7">
      <w:pPr>
        <w:pStyle w:val="104"/>
        <w:snapToGrid/>
        <w:jc w:val="left"/>
        <w:rPr>
          <w:rFonts w:ascii="宋体" w:hAnsi="宋体" w:eastAsia="宋体"/>
          <w:b/>
          <w:bCs/>
          <w:color w:val="000000"/>
          <w:sz w:val="24"/>
          <w:szCs w:val="24"/>
          <w:highlight w:val="none"/>
          <w:lang w:val="en-US" w:eastAsia="zh-CN"/>
        </w:rPr>
      </w:pPr>
    </w:p>
    <w:p w14:paraId="33E2E9F3">
      <w:pPr>
        <w:pStyle w:val="104"/>
        <w:snapToGrid/>
        <w:jc w:val="left"/>
        <w:rPr>
          <w:rFonts w:ascii="宋体" w:hAnsi="宋体" w:eastAsia="宋体"/>
          <w:b/>
          <w:bCs/>
          <w:color w:val="000000"/>
          <w:sz w:val="24"/>
          <w:szCs w:val="24"/>
          <w:highlight w:val="none"/>
          <w:lang w:val="en-US" w:eastAsia="zh-CN"/>
        </w:rPr>
      </w:pPr>
    </w:p>
    <w:p w14:paraId="5BEF42E9">
      <w:pPr>
        <w:pStyle w:val="104"/>
        <w:pageBreakBefore w:val="0"/>
        <w:wordWrap w:val="0"/>
        <w:snapToGrid w:val="0"/>
        <w:spacing w:line="360" w:lineRule="auto"/>
        <w:ind w:left="601" w:firstLine="482" w:firstLineChars="200"/>
        <w:jc w:val="left"/>
        <w:outlineLvl w:val="0"/>
        <w:rPr>
          <w:rFonts w:ascii="宋体" w:hAnsi="宋体" w:eastAsia="宋体"/>
          <w:color w:val="000000"/>
          <w:spacing w:val="6"/>
          <w:sz w:val="24"/>
          <w:highlight w:val="none"/>
        </w:rPr>
        <w:sectPr>
          <w:footerReference r:id="rId11" w:type="default"/>
          <w:pgSz w:w="11906" w:h="16838"/>
          <w:pgMar w:top="1134" w:right="1134" w:bottom="1134" w:left="1134" w:header="851" w:footer="992" w:gutter="0"/>
          <w:cols w:space="1701" w:num="1"/>
          <w:docGrid w:type="lines" w:linePitch="312" w:charSpace="0"/>
        </w:sectPr>
      </w:pPr>
      <w:bookmarkStart w:id="13" w:name="_Toc7234"/>
      <w:r>
        <w:rPr>
          <w:rFonts w:ascii="宋体" w:hAnsi="宋体" w:eastAsia="宋体"/>
          <w:b/>
          <w:bCs/>
          <w:color w:val="000000"/>
          <w:sz w:val="24"/>
          <w:szCs w:val="24"/>
          <w:highlight w:val="none"/>
          <w:lang w:val="en-US" w:eastAsia="zh-CN"/>
        </w:rPr>
        <w:t>注：从业人员、营业收入、资产总额填报上一年度数据，无上一年度数据的新成立企业可不填报。</w:t>
      </w:r>
      <w:bookmarkEnd w:id="13"/>
    </w:p>
    <w:p w14:paraId="2FDFD35B">
      <w:pPr>
        <w:pStyle w:val="104"/>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国家统计局关于印发《统计上</w:t>
      </w:r>
    </w:p>
    <w:p w14:paraId="41F9AF60">
      <w:pPr>
        <w:pStyle w:val="104"/>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大中小微型企业划分办法（2017）》的通知</w:t>
      </w:r>
    </w:p>
    <w:p w14:paraId="7830A7C4">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197682A2">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国统字〔2017〕213号</w:t>
      </w:r>
    </w:p>
    <w:p w14:paraId="2B2ABBAA">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各省、自治区、直辖市统计局，新疆生产建设兵团统计局，国务院各有关部门，国家统计局各调查总队：</w:t>
      </w:r>
    </w:p>
    <w:p w14:paraId="080D0EA5">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2D22EEA">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附件：《统计上大中小微型企业划分办法（2017）》修订说明</w:t>
      </w:r>
    </w:p>
    <w:p w14:paraId="62FE8B2D">
      <w:pPr>
        <w:pStyle w:val="104"/>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国家统计局  </w:t>
      </w:r>
    </w:p>
    <w:p w14:paraId="089EE486">
      <w:pPr>
        <w:pStyle w:val="104"/>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2017年12月28日</w:t>
      </w:r>
    </w:p>
    <w:p w14:paraId="0588DE80">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2EF5728">
      <w:pPr>
        <w:pStyle w:val="104"/>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统计上大中小微型企业划分办法（2017）</w:t>
      </w:r>
    </w:p>
    <w:p w14:paraId="289A5DE1">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5B5AE6E">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一、根据工业和信息化部、国家统计局、国家发展改革委、财政部《关于印发中小企业划型标准规定的通知》（工信部联企业〔2011〕300号），以《国民经济行业分类》（GB/T4754-2017）为基础，结合统计工作的实际情况，制定本办法。</w:t>
      </w:r>
    </w:p>
    <w:p w14:paraId="70B4D7D4">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271DD83E">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二、本办法适用对象为在中华人民共和国境内依法设立的各种组织形式的法人企业或单位。个体工商户参照本办法进行划分。</w:t>
      </w:r>
    </w:p>
    <w:p w14:paraId="69B8D499">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6D33EE25">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C721833">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551BF5C5">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四、本办法按照行业门类、大类、中类和组合类别，依据从业人员、营业收入、资产总额等指标或替代指标，将我国的企业划分为大型、中型、小型、微型等四种类型。具体划分标准见附表。</w:t>
      </w:r>
    </w:p>
    <w:p w14:paraId="3B0B036C">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A9A8F20">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五、企业划分由政府综合统计部门根据统计年报每年确定一次，定报统计原则上不进行调整。</w:t>
      </w:r>
    </w:p>
    <w:p w14:paraId="17422CF4">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DBA1995">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六、本办法自印发之日起执行，国家统计局2011年印发的《统计上大中小微型企业划分办法》（国统字〔2011〕75号）同时废止。</w:t>
      </w:r>
    </w:p>
    <w:p w14:paraId="1886D2C2">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C79FF20">
      <w:pPr>
        <w:pStyle w:val="104"/>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附表：统计上大中小微型企业划分标准</w:t>
      </w:r>
    </w:p>
    <w:p w14:paraId="2DB9138C">
      <w:pPr>
        <w:pStyle w:val="104"/>
        <w:snapToGrid/>
        <w:rPr>
          <w:rFonts w:ascii="宋体" w:hAnsi="宋体" w:eastAsia="宋体"/>
          <w:color w:val="000000"/>
          <w:sz w:val="24"/>
          <w:szCs w:val="24"/>
          <w:highlight w:val="none"/>
        </w:rPr>
      </w:pPr>
      <w:r>
        <w:rPr>
          <w:rFonts w:ascii="宋体" w:hAnsi="宋体" w:eastAsia="宋体"/>
          <w:color w:val="000000"/>
          <w:sz w:val="24"/>
          <w:szCs w:val="24"/>
          <w:highlight w:val="none"/>
        </w:rPr>
        <w:br w:type="page"/>
      </w:r>
    </w:p>
    <w:p w14:paraId="6F6B892E">
      <w:pPr>
        <w:pStyle w:val="104"/>
        <w:widowControl/>
        <w:snapToGrid/>
        <w:spacing w:line="600" w:lineRule="exact"/>
        <w:jc w:val="left"/>
        <w:rPr>
          <w:rFonts w:ascii="宋体" w:hAnsi="宋体" w:eastAsia="宋体"/>
          <w:color w:val="000000"/>
          <w:sz w:val="32"/>
          <w:szCs w:val="32"/>
          <w:highlight w:val="none"/>
        </w:rPr>
      </w:pPr>
      <w:r>
        <w:rPr>
          <w:rFonts w:ascii="宋体" w:hAnsi="宋体" w:eastAsia="宋体"/>
          <w:color w:val="000000"/>
          <w:sz w:val="32"/>
          <w:szCs w:val="32"/>
          <w:highlight w:val="none"/>
        </w:rPr>
        <w:t>附表</w:t>
      </w:r>
    </w:p>
    <w:p w14:paraId="3B3F92F8">
      <w:pPr>
        <w:pStyle w:val="104"/>
        <w:widowControl/>
        <w:snapToGrid/>
        <w:spacing w:line="330" w:lineRule="atLeast"/>
        <w:jc w:val="center"/>
        <w:rPr>
          <w:rFonts w:ascii="宋体" w:hAnsi="宋体" w:eastAsia="宋体"/>
          <w:color w:val="000000"/>
          <w:sz w:val="36"/>
          <w:szCs w:val="32"/>
          <w:highlight w:val="none"/>
        </w:rPr>
      </w:pPr>
      <w:r>
        <w:rPr>
          <w:rFonts w:ascii="宋体" w:hAnsi="宋体" w:eastAsia="宋体"/>
          <w:color w:val="000000"/>
          <w:sz w:val="36"/>
          <w:szCs w:val="32"/>
          <w:highlight w:val="none"/>
        </w:rPr>
        <w:t>统计上大中小微型企业划分标准</w:t>
      </w:r>
    </w:p>
    <w:tbl>
      <w:tblPr>
        <w:tblStyle w:val="33"/>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62E40246">
        <w:tblPrEx>
          <w:tblCellMar>
            <w:top w:w="0" w:type="dxa"/>
            <w:left w:w="108" w:type="dxa"/>
            <w:bottom w:w="0" w:type="dxa"/>
            <w:right w:w="108" w:type="dxa"/>
          </w:tblCellMar>
        </w:tblPrEx>
        <w:trPr>
          <w:trHeight w:val="622" w:hRule="exact"/>
          <w:jc w:val="center"/>
        </w:trPr>
        <w:tc>
          <w:tcPr>
            <w:tcW w:w="2113" w:type="dxa"/>
            <w:tcBorders>
              <w:top w:val="single" w:color="000000" w:sz="4" w:space="0"/>
              <w:left w:val="nil"/>
              <w:bottom w:val="single" w:color="000000" w:sz="4" w:space="0"/>
              <w:right w:val="single" w:color="1DD600" w:sz="4" w:space="0"/>
            </w:tcBorders>
            <w:noWrap w:val="0"/>
            <w:vAlign w:val="center"/>
          </w:tcPr>
          <w:p w14:paraId="3BEE7644">
            <w:pPr>
              <w:pStyle w:val="104"/>
              <w:widowControl/>
              <w:snapToGrid/>
              <w:spacing w:line="240" w:lineRule="exact"/>
              <w:jc w:val="center"/>
              <w:rPr>
                <w:rFonts w:ascii="宋体" w:hAnsi="宋体" w:eastAsia="宋体"/>
                <w:b/>
                <w:bCs/>
                <w:color w:val="000000"/>
                <w:sz w:val="18"/>
                <w:szCs w:val="21"/>
                <w:highlight w:val="none"/>
              </w:rPr>
            </w:pPr>
            <w:r>
              <w:rPr>
                <w:rFonts w:ascii="宋体" w:hAnsi="宋体" w:eastAsia="宋体"/>
                <w:b/>
                <w:bCs/>
                <w:color w:val="000000"/>
                <w:sz w:val="18"/>
                <w:szCs w:val="21"/>
                <w:highlight w:val="none"/>
              </w:rPr>
              <w:t>行业名称</w:t>
            </w:r>
          </w:p>
        </w:tc>
        <w:tc>
          <w:tcPr>
            <w:tcW w:w="1369" w:type="dxa"/>
            <w:tcBorders>
              <w:top w:val="single" w:color="000000" w:sz="4" w:space="0"/>
              <w:left w:val="nil"/>
              <w:bottom w:val="single" w:color="000000" w:sz="4" w:space="0"/>
              <w:right w:val="single" w:color="1DD600" w:sz="4" w:space="0"/>
            </w:tcBorders>
            <w:noWrap w:val="0"/>
            <w:vAlign w:val="center"/>
          </w:tcPr>
          <w:p w14:paraId="58B5FD09">
            <w:pPr>
              <w:pStyle w:val="104"/>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指标名称</w:t>
            </w:r>
          </w:p>
        </w:tc>
        <w:tc>
          <w:tcPr>
            <w:tcW w:w="709" w:type="dxa"/>
            <w:tcBorders>
              <w:top w:val="single" w:color="000000" w:sz="4" w:space="0"/>
              <w:left w:val="nil"/>
              <w:bottom w:val="single" w:color="000000" w:sz="4" w:space="0"/>
              <w:right w:val="single" w:color="1DD600" w:sz="4" w:space="0"/>
            </w:tcBorders>
            <w:noWrap w:val="0"/>
            <w:vAlign w:val="center"/>
          </w:tcPr>
          <w:p w14:paraId="75CC3405">
            <w:pPr>
              <w:pStyle w:val="104"/>
              <w:widowControl/>
              <w:snapToGrid/>
              <w:jc w:val="center"/>
              <w:rPr>
                <w:rFonts w:ascii="宋体" w:hAnsi="宋体" w:eastAsia="宋体"/>
                <w:b/>
                <w:bCs/>
                <w:color w:val="000000"/>
                <w:sz w:val="18"/>
                <w:szCs w:val="18"/>
                <w:highlight w:val="none"/>
                <w:lang w:eastAsia="zh-CN"/>
              </w:rPr>
            </w:pPr>
            <w:r>
              <w:rPr>
                <w:rFonts w:ascii="宋体" w:hAnsi="宋体" w:eastAsia="宋体"/>
                <w:b/>
                <w:bCs/>
                <w:color w:val="000000"/>
                <w:sz w:val="18"/>
                <w:szCs w:val="18"/>
                <w:highlight w:val="none"/>
              </w:rPr>
              <w:t>计量</w:t>
            </w:r>
          </w:p>
          <w:p w14:paraId="1B2DB2A9">
            <w:pPr>
              <w:pStyle w:val="104"/>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单位</w:t>
            </w:r>
          </w:p>
        </w:tc>
        <w:tc>
          <w:tcPr>
            <w:tcW w:w="1125" w:type="dxa"/>
            <w:tcBorders>
              <w:top w:val="single" w:color="000000" w:sz="4" w:space="0"/>
              <w:left w:val="nil"/>
              <w:bottom w:val="single" w:color="000000" w:sz="4" w:space="0"/>
              <w:right w:val="single" w:color="1DD600" w:sz="4" w:space="0"/>
            </w:tcBorders>
            <w:noWrap w:val="0"/>
            <w:vAlign w:val="center"/>
          </w:tcPr>
          <w:p w14:paraId="09DB00D5">
            <w:pPr>
              <w:pStyle w:val="104"/>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大型</w:t>
            </w:r>
          </w:p>
        </w:tc>
        <w:tc>
          <w:tcPr>
            <w:tcW w:w="1701" w:type="dxa"/>
            <w:tcBorders>
              <w:top w:val="single" w:color="000000" w:sz="4" w:space="0"/>
              <w:left w:val="nil"/>
              <w:bottom w:val="single" w:color="000000" w:sz="4" w:space="0"/>
              <w:right w:val="single" w:color="1DD600" w:sz="4" w:space="0"/>
            </w:tcBorders>
            <w:noWrap w:val="0"/>
            <w:vAlign w:val="center"/>
          </w:tcPr>
          <w:p w14:paraId="513B877D">
            <w:pPr>
              <w:pStyle w:val="104"/>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中型</w:t>
            </w:r>
          </w:p>
        </w:tc>
        <w:tc>
          <w:tcPr>
            <w:tcW w:w="1426" w:type="dxa"/>
            <w:tcBorders>
              <w:top w:val="single" w:color="000000" w:sz="4" w:space="0"/>
              <w:left w:val="nil"/>
              <w:bottom w:val="single" w:color="000000" w:sz="4" w:space="0"/>
              <w:right w:val="single" w:color="1DD600" w:sz="4" w:space="0"/>
            </w:tcBorders>
            <w:noWrap w:val="0"/>
            <w:vAlign w:val="center"/>
          </w:tcPr>
          <w:p w14:paraId="170D2A00">
            <w:pPr>
              <w:pStyle w:val="104"/>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小型</w:t>
            </w:r>
          </w:p>
        </w:tc>
        <w:tc>
          <w:tcPr>
            <w:tcW w:w="992" w:type="dxa"/>
            <w:tcBorders>
              <w:top w:val="single" w:color="000000" w:sz="4" w:space="0"/>
              <w:left w:val="nil"/>
              <w:bottom w:val="single" w:color="000000" w:sz="4" w:space="0"/>
              <w:right w:val="nil"/>
            </w:tcBorders>
            <w:noWrap w:val="0"/>
            <w:vAlign w:val="center"/>
          </w:tcPr>
          <w:p w14:paraId="658E60D3">
            <w:pPr>
              <w:pStyle w:val="104"/>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微型</w:t>
            </w:r>
          </w:p>
        </w:tc>
      </w:tr>
      <w:tr w14:paraId="02FF00BE">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1FBF58EB">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农、林、牧、渔业</w:t>
            </w:r>
          </w:p>
        </w:tc>
        <w:tc>
          <w:tcPr>
            <w:tcW w:w="1369" w:type="dxa"/>
            <w:tcBorders>
              <w:top w:val="nil"/>
              <w:left w:val="nil"/>
              <w:bottom w:val="single" w:color="000000" w:sz="4" w:space="0"/>
              <w:right w:val="single" w:color="1DD600" w:sz="4" w:space="0"/>
            </w:tcBorders>
            <w:noWrap w:val="0"/>
            <w:vAlign w:val="center"/>
          </w:tcPr>
          <w:p w14:paraId="14BFFA5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1ED2C5C">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2013DFE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14A5432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493DBFCA">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50≤Y＜500</w:t>
            </w:r>
          </w:p>
        </w:tc>
        <w:tc>
          <w:tcPr>
            <w:tcW w:w="992" w:type="dxa"/>
            <w:tcBorders>
              <w:top w:val="nil"/>
              <w:left w:val="nil"/>
              <w:bottom w:val="single" w:color="000000" w:sz="4" w:space="0"/>
              <w:right w:val="nil"/>
            </w:tcBorders>
            <w:noWrap w:val="0"/>
            <w:vAlign w:val="center"/>
          </w:tcPr>
          <w:p w14:paraId="6FAB34F6">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04AA7B1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DEEEEEE">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工业 *</w:t>
            </w:r>
          </w:p>
        </w:tc>
        <w:tc>
          <w:tcPr>
            <w:tcW w:w="1369" w:type="dxa"/>
            <w:tcBorders>
              <w:top w:val="nil"/>
              <w:left w:val="nil"/>
              <w:bottom w:val="nil"/>
              <w:right w:val="single" w:color="1DD600" w:sz="4" w:space="0"/>
            </w:tcBorders>
            <w:noWrap w:val="0"/>
            <w:vAlign w:val="center"/>
          </w:tcPr>
          <w:p w14:paraId="733E04B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A7DCCE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CF7C3C5">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12E7FB4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254C8DE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114A888C">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46989CE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02716D2">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C39851B">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B46901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527521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6810C3D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2000≤Y＜40000</w:t>
            </w:r>
          </w:p>
        </w:tc>
        <w:tc>
          <w:tcPr>
            <w:tcW w:w="1426" w:type="dxa"/>
            <w:tcBorders>
              <w:top w:val="nil"/>
              <w:left w:val="nil"/>
              <w:bottom w:val="single" w:color="000000" w:sz="4" w:space="0"/>
              <w:right w:val="single" w:color="1DD600" w:sz="4" w:space="0"/>
            </w:tcBorders>
            <w:noWrap w:val="0"/>
            <w:vAlign w:val="center"/>
          </w:tcPr>
          <w:p w14:paraId="796BF5F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300≤Y＜2000</w:t>
            </w:r>
          </w:p>
        </w:tc>
        <w:tc>
          <w:tcPr>
            <w:tcW w:w="992" w:type="dxa"/>
            <w:tcBorders>
              <w:top w:val="nil"/>
              <w:left w:val="nil"/>
              <w:bottom w:val="single" w:color="000000" w:sz="4" w:space="0"/>
              <w:right w:val="nil"/>
            </w:tcBorders>
            <w:noWrap w:val="0"/>
            <w:vAlign w:val="center"/>
          </w:tcPr>
          <w:p w14:paraId="5B6CC35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5170EA9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777F2B8">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建筑业</w:t>
            </w:r>
          </w:p>
        </w:tc>
        <w:tc>
          <w:tcPr>
            <w:tcW w:w="1369" w:type="dxa"/>
            <w:tcBorders>
              <w:top w:val="nil"/>
              <w:left w:val="nil"/>
              <w:bottom w:val="nil"/>
              <w:right w:val="single" w:color="1DD600" w:sz="4" w:space="0"/>
            </w:tcBorders>
            <w:noWrap w:val="0"/>
            <w:vAlign w:val="center"/>
          </w:tcPr>
          <w:p w14:paraId="4E312AC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189FF45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73C24447">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Y≥80000</w:t>
            </w:r>
          </w:p>
        </w:tc>
        <w:tc>
          <w:tcPr>
            <w:tcW w:w="1701" w:type="dxa"/>
            <w:tcBorders>
              <w:top w:val="nil"/>
              <w:left w:val="nil"/>
              <w:bottom w:val="nil"/>
              <w:right w:val="single" w:color="1DD600" w:sz="4" w:space="0"/>
            </w:tcBorders>
            <w:noWrap w:val="0"/>
            <w:vAlign w:val="center"/>
          </w:tcPr>
          <w:p w14:paraId="12438C3A">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6000≤Y＜80000</w:t>
            </w:r>
          </w:p>
        </w:tc>
        <w:tc>
          <w:tcPr>
            <w:tcW w:w="1426" w:type="dxa"/>
            <w:tcBorders>
              <w:top w:val="nil"/>
              <w:left w:val="nil"/>
              <w:bottom w:val="nil"/>
              <w:right w:val="single" w:color="1DD600" w:sz="4" w:space="0"/>
            </w:tcBorders>
            <w:noWrap w:val="0"/>
            <w:vAlign w:val="center"/>
          </w:tcPr>
          <w:p w14:paraId="4AD1086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300≤Y＜6000</w:t>
            </w:r>
          </w:p>
        </w:tc>
        <w:tc>
          <w:tcPr>
            <w:tcW w:w="992" w:type="dxa"/>
            <w:tcBorders>
              <w:top w:val="nil"/>
              <w:left w:val="nil"/>
              <w:bottom w:val="nil"/>
              <w:right w:val="nil"/>
            </w:tcBorders>
            <w:noWrap w:val="0"/>
            <w:vAlign w:val="center"/>
          </w:tcPr>
          <w:p w14:paraId="2E39E8E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3E0BD07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207620C">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74638197">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43B9967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7665236">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Z≥80000</w:t>
            </w:r>
          </w:p>
        </w:tc>
        <w:tc>
          <w:tcPr>
            <w:tcW w:w="1701" w:type="dxa"/>
            <w:tcBorders>
              <w:top w:val="nil"/>
              <w:left w:val="nil"/>
              <w:bottom w:val="single" w:color="000000" w:sz="4" w:space="0"/>
              <w:right w:val="single" w:color="1DD600" w:sz="4" w:space="0"/>
            </w:tcBorders>
            <w:noWrap w:val="0"/>
            <w:vAlign w:val="center"/>
          </w:tcPr>
          <w:p w14:paraId="3687E39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5000≤Z＜80000</w:t>
            </w:r>
          </w:p>
        </w:tc>
        <w:tc>
          <w:tcPr>
            <w:tcW w:w="1426" w:type="dxa"/>
            <w:tcBorders>
              <w:top w:val="nil"/>
              <w:left w:val="nil"/>
              <w:bottom w:val="single" w:color="000000" w:sz="4" w:space="0"/>
              <w:right w:val="single" w:color="1DD600" w:sz="4" w:space="0"/>
            </w:tcBorders>
            <w:noWrap w:val="0"/>
            <w:vAlign w:val="center"/>
          </w:tcPr>
          <w:p w14:paraId="235EDE5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300≤Z＜5000</w:t>
            </w:r>
          </w:p>
        </w:tc>
        <w:tc>
          <w:tcPr>
            <w:tcW w:w="992" w:type="dxa"/>
            <w:tcBorders>
              <w:top w:val="nil"/>
              <w:left w:val="nil"/>
              <w:bottom w:val="single" w:color="000000" w:sz="4" w:space="0"/>
              <w:right w:val="nil"/>
            </w:tcBorders>
            <w:noWrap w:val="0"/>
            <w:vAlign w:val="center"/>
          </w:tcPr>
          <w:p w14:paraId="2D8BFAFA">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Z＜300</w:t>
            </w:r>
          </w:p>
        </w:tc>
      </w:tr>
      <w:tr w14:paraId="6A7E66E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0D4F7AB">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批发业</w:t>
            </w:r>
          </w:p>
        </w:tc>
        <w:tc>
          <w:tcPr>
            <w:tcW w:w="1369" w:type="dxa"/>
            <w:tcBorders>
              <w:top w:val="nil"/>
              <w:left w:val="nil"/>
              <w:bottom w:val="nil"/>
              <w:right w:val="single" w:color="1DD600" w:sz="4" w:space="0"/>
            </w:tcBorders>
            <w:noWrap w:val="0"/>
            <w:vAlign w:val="center"/>
          </w:tcPr>
          <w:p w14:paraId="6D815D7E">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11D2567">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A9B0E6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2BBB810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20≤X＜200</w:t>
            </w:r>
          </w:p>
        </w:tc>
        <w:tc>
          <w:tcPr>
            <w:tcW w:w="1426" w:type="dxa"/>
            <w:tcBorders>
              <w:top w:val="nil"/>
              <w:left w:val="nil"/>
              <w:bottom w:val="nil"/>
              <w:right w:val="single" w:color="1DD600" w:sz="4" w:space="0"/>
            </w:tcBorders>
            <w:noWrap w:val="0"/>
            <w:vAlign w:val="center"/>
          </w:tcPr>
          <w:p w14:paraId="6D696B6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5≤X＜20</w:t>
            </w:r>
          </w:p>
        </w:tc>
        <w:tc>
          <w:tcPr>
            <w:tcW w:w="992" w:type="dxa"/>
            <w:tcBorders>
              <w:top w:val="nil"/>
              <w:left w:val="nil"/>
              <w:bottom w:val="nil"/>
              <w:right w:val="nil"/>
            </w:tcBorders>
            <w:noWrap w:val="0"/>
            <w:vAlign w:val="center"/>
          </w:tcPr>
          <w:p w14:paraId="12D5930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X＜5</w:t>
            </w:r>
          </w:p>
        </w:tc>
      </w:tr>
      <w:tr w14:paraId="2FFB87C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02869A8">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7F69BF9">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4597FEF6">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A01330E">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377F508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5000≤Y＜40000</w:t>
            </w:r>
          </w:p>
        </w:tc>
        <w:tc>
          <w:tcPr>
            <w:tcW w:w="1426" w:type="dxa"/>
            <w:tcBorders>
              <w:top w:val="nil"/>
              <w:left w:val="nil"/>
              <w:bottom w:val="single" w:color="000000" w:sz="4" w:space="0"/>
              <w:right w:val="single" w:color="1DD600" w:sz="4" w:space="0"/>
            </w:tcBorders>
            <w:noWrap w:val="0"/>
            <w:vAlign w:val="center"/>
          </w:tcPr>
          <w:p w14:paraId="78438E36">
            <w:pPr>
              <w:pStyle w:val="104"/>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1000≤Y＜5000</w:t>
            </w:r>
          </w:p>
        </w:tc>
        <w:tc>
          <w:tcPr>
            <w:tcW w:w="992" w:type="dxa"/>
            <w:tcBorders>
              <w:top w:val="nil"/>
              <w:left w:val="nil"/>
              <w:bottom w:val="single" w:color="000000" w:sz="4" w:space="0"/>
              <w:right w:val="nil"/>
            </w:tcBorders>
            <w:noWrap w:val="0"/>
            <w:vAlign w:val="center"/>
          </w:tcPr>
          <w:p w14:paraId="7308B6B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w:t>
            </w:r>
          </w:p>
        </w:tc>
      </w:tr>
      <w:tr w14:paraId="0FBA52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F947607">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零售业</w:t>
            </w:r>
          </w:p>
        </w:tc>
        <w:tc>
          <w:tcPr>
            <w:tcW w:w="1369" w:type="dxa"/>
            <w:tcBorders>
              <w:top w:val="nil"/>
              <w:left w:val="nil"/>
              <w:bottom w:val="nil"/>
              <w:right w:val="single" w:color="1DD600" w:sz="4" w:space="0"/>
            </w:tcBorders>
            <w:noWrap w:val="0"/>
            <w:vAlign w:val="center"/>
          </w:tcPr>
          <w:p w14:paraId="419A009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38218A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3A1A32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39F38BC">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50≤X＜300</w:t>
            </w:r>
          </w:p>
        </w:tc>
        <w:tc>
          <w:tcPr>
            <w:tcW w:w="1426" w:type="dxa"/>
            <w:tcBorders>
              <w:top w:val="nil"/>
              <w:left w:val="nil"/>
              <w:bottom w:val="nil"/>
              <w:right w:val="single" w:color="1DD600" w:sz="4" w:space="0"/>
            </w:tcBorders>
            <w:noWrap w:val="0"/>
            <w:vAlign w:val="center"/>
          </w:tcPr>
          <w:p w14:paraId="1DFE48C3">
            <w:pPr>
              <w:pStyle w:val="104"/>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10≤X＜50 </w:t>
            </w:r>
          </w:p>
        </w:tc>
        <w:tc>
          <w:tcPr>
            <w:tcW w:w="992" w:type="dxa"/>
            <w:tcBorders>
              <w:top w:val="nil"/>
              <w:left w:val="nil"/>
              <w:bottom w:val="nil"/>
              <w:right w:val="nil"/>
            </w:tcBorders>
            <w:noWrap w:val="0"/>
            <w:vAlign w:val="center"/>
          </w:tcPr>
          <w:p w14:paraId="51181AD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730730B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933D269">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B6C9B99">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1876DB7E">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6A04E3D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2D08283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73ADC4B2">
            <w:pPr>
              <w:pStyle w:val="104"/>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100≤Y＜500 </w:t>
            </w:r>
          </w:p>
        </w:tc>
        <w:tc>
          <w:tcPr>
            <w:tcW w:w="992" w:type="dxa"/>
            <w:tcBorders>
              <w:top w:val="nil"/>
              <w:left w:val="nil"/>
              <w:bottom w:val="single" w:color="000000" w:sz="4" w:space="0"/>
              <w:right w:val="nil"/>
            </w:tcBorders>
            <w:noWrap w:val="0"/>
            <w:vAlign w:val="center"/>
          </w:tcPr>
          <w:p w14:paraId="3101E095">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155C82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538B59D4">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交通运输业 *</w:t>
            </w:r>
          </w:p>
        </w:tc>
        <w:tc>
          <w:tcPr>
            <w:tcW w:w="1369" w:type="dxa"/>
            <w:tcBorders>
              <w:top w:val="nil"/>
              <w:left w:val="nil"/>
              <w:bottom w:val="nil"/>
              <w:right w:val="single" w:color="1DD600" w:sz="4" w:space="0"/>
            </w:tcBorders>
            <w:noWrap w:val="0"/>
            <w:vAlign w:val="center"/>
          </w:tcPr>
          <w:p w14:paraId="3D126A8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9BC034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56819E5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A2B67A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7D5F79E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3EB1131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2558606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7B24D12">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AA16A8C">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BF5958E">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32161C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ECF5C0E">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3000≤Y＜30000</w:t>
            </w:r>
          </w:p>
        </w:tc>
        <w:tc>
          <w:tcPr>
            <w:tcW w:w="1426" w:type="dxa"/>
            <w:tcBorders>
              <w:top w:val="nil"/>
              <w:left w:val="nil"/>
              <w:bottom w:val="single" w:color="000000" w:sz="4" w:space="0"/>
              <w:right w:val="single" w:color="1DD600" w:sz="4" w:space="0"/>
            </w:tcBorders>
            <w:noWrap w:val="0"/>
            <w:vAlign w:val="center"/>
          </w:tcPr>
          <w:p w14:paraId="4513661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200≤Y＜3000</w:t>
            </w:r>
          </w:p>
        </w:tc>
        <w:tc>
          <w:tcPr>
            <w:tcW w:w="992" w:type="dxa"/>
            <w:tcBorders>
              <w:top w:val="nil"/>
              <w:left w:val="nil"/>
              <w:bottom w:val="single" w:color="000000" w:sz="4" w:space="0"/>
              <w:right w:val="nil"/>
            </w:tcBorders>
            <w:noWrap w:val="0"/>
            <w:vAlign w:val="center"/>
          </w:tcPr>
          <w:p w14:paraId="20FF7FB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w:t>
            </w:r>
          </w:p>
        </w:tc>
      </w:tr>
      <w:tr w14:paraId="46B0B6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6733B669">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仓储业*</w:t>
            </w:r>
          </w:p>
        </w:tc>
        <w:tc>
          <w:tcPr>
            <w:tcW w:w="1369" w:type="dxa"/>
            <w:tcBorders>
              <w:top w:val="nil"/>
              <w:left w:val="nil"/>
              <w:bottom w:val="nil"/>
              <w:right w:val="single" w:color="1DD600" w:sz="4" w:space="0"/>
            </w:tcBorders>
            <w:noWrap w:val="0"/>
            <w:vAlign w:val="center"/>
          </w:tcPr>
          <w:p w14:paraId="53F7A577">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FCDD9A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1648A3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4C258522">
            <w:pPr>
              <w:pStyle w:val="104"/>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100≤X＜200</w:t>
            </w:r>
          </w:p>
        </w:tc>
        <w:tc>
          <w:tcPr>
            <w:tcW w:w="1426" w:type="dxa"/>
            <w:tcBorders>
              <w:top w:val="nil"/>
              <w:left w:val="nil"/>
              <w:bottom w:val="nil"/>
              <w:right w:val="single" w:color="1DD600" w:sz="4" w:space="0"/>
            </w:tcBorders>
            <w:noWrap w:val="0"/>
            <w:vAlign w:val="center"/>
          </w:tcPr>
          <w:p w14:paraId="30C0D5E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20≤X＜100</w:t>
            </w:r>
          </w:p>
        </w:tc>
        <w:tc>
          <w:tcPr>
            <w:tcW w:w="992" w:type="dxa"/>
            <w:tcBorders>
              <w:top w:val="nil"/>
              <w:left w:val="nil"/>
              <w:bottom w:val="nil"/>
              <w:right w:val="nil"/>
            </w:tcBorders>
            <w:noWrap w:val="0"/>
            <w:vAlign w:val="center"/>
          </w:tcPr>
          <w:p w14:paraId="219F690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701066C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5CCFA716">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650E3A8">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AA01A6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231DA2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076409C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1000≤Y＜30000</w:t>
            </w:r>
          </w:p>
        </w:tc>
        <w:tc>
          <w:tcPr>
            <w:tcW w:w="1426" w:type="dxa"/>
            <w:tcBorders>
              <w:top w:val="nil"/>
              <w:left w:val="nil"/>
              <w:bottom w:val="single" w:color="000000" w:sz="4" w:space="0"/>
              <w:right w:val="single" w:color="1DD600" w:sz="4" w:space="0"/>
            </w:tcBorders>
            <w:noWrap w:val="0"/>
            <w:vAlign w:val="center"/>
          </w:tcPr>
          <w:p w14:paraId="3E8E602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7B739D9">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831DF3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792E7C60">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邮政业</w:t>
            </w:r>
          </w:p>
        </w:tc>
        <w:tc>
          <w:tcPr>
            <w:tcW w:w="1369" w:type="dxa"/>
            <w:tcBorders>
              <w:top w:val="nil"/>
              <w:left w:val="nil"/>
              <w:bottom w:val="nil"/>
              <w:right w:val="single" w:color="1DD600" w:sz="4" w:space="0"/>
            </w:tcBorders>
            <w:noWrap w:val="0"/>
            <w:vAlign w:val="center"/>
          </w:tcPr>
          <w:p w14:paraId="6D59503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21686BA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18B1539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E116509">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13C2AC3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29EAD6B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0739EA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4CFA1DCB">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335F627">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13882AA">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C6921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D56EA4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2000≤Y＜30000</w:t>
            </w:r>
          </w:p>
        </w:tc>
        <w:tc>
          <w:tcPr>
            <w:tcW w:w="1426" w:type="dxa"/>
            <w:tcBorders>
              <w:top w:val="nil"/>
              <w:left w:val="nil"/>
              <w:bottom w:val="single" w:color="000000" w:sz="4" w:space="0"/>
              <w:right w:val="single" w:color="1DD600" w:sz="4" w:space="0"/>
            </w:tcBorders>
            <w:noWrap w:val="0"/>
            <w:vAlign w:val="center"/>
          </w:tcPr>
          <w:p w14:paraId="4F6661BE">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0A05F0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4369C1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C9DC6AF">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住宿业</w:t>
            </w:r>
          </w:p>
        </w:tc>
        <w:tc>
          <w:tcPr>
            <w:tcW w:w="1369" w:type="dxa"/>
            <w:tcBorders>
              <w:top w:val="nil"/>
              <w:left w:val="nil"/>
              <w:bottom w:val="nil"/>
              <w:right w:val="single" w:color="1DD600" w:sz="4" w:space="0"/>
            </w:tcBorders>
            <w:noWrap w:val="0"/>
            <w:vAlign w:val="center"/>
          </w:tcPr>
          <w:p w14:paraId="3DA9B7E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64F2B395">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6D2E43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DE9E65F">
            <w:pPr>
              <w:pStyle w:val="104"/>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16A383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1594E1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AB2E7F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1DE02F2">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03EA2E2">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328E7D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6D70FC7">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1AC60DE7">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46C92DE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7ABD85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2D30B0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E106D7A">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餐饮业</w:t>
            </w:r>
          </w:p>
        </w:tc>
        <w:tc>
          <w:tcPr>
            <w:tcW w:w="1369" w:type="dxa"/>
            <w:tcBorders>
              <w:top w:val="nil"/>
              <w:left w:val="nil"/>
              <w:bottom w:val="nil"/>
              <w:right w:val="single" w:color="1DD600" w:sz="4" w:space="0"/>
            </w:tcBorders>
            <w:noWrap w:val="0"/>
            <w:vAlign w:val="center"/>
          </w:tcPr>
          <w:p w14:paraId="0843D609">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0EF0EFC">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0CD32C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31170A90">
            <w:pPr>
              <w:pStyle w:val="104"/>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AC096CC">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04AC46A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19A23E4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633E101">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E713638">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A612B6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53DCD1E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75852899">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61452D4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53B3A7D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1A2E20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3FC6FAF8">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信息传输业 *</w:t>
            </w:r>
          </w:p>
        </w:tc>
        <w:tc>
          <w:tcPr>
            <w:tcW w:w="1369" w:type="dxa"/>
            <w:tcBorders>
              <w:top w:val="nil"/>
              <w:left w:val="nil"/>
              <w:bottom w:val="nil"/>
              <w:right w:val="single" w:color="1DD600" w:sz="4" w:space="0"/>
            </w:tcBorders>
            <w:noWrap w:val="0"/>
            <w:vAlign w:val="center"/>
          </w:tcPr>
          <w:p w14:paraId="772055B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5775AAC">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A597F37">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X≥2000</w:t>
            </w:r>
          </w:p>
        </w:tc>
        <w:tc>
          <w:tcPr>
            <w:tcW w:w="1701" w:type="dxa"/>
            <w:tcBorders>
              <w:top w:val="nil"/>
              <w:left w:val="nil"/>
              <w:bottom w:val="nil"/>
              <w:right w:val="single" w:color="1DD600" w:sz="4" w:space="0"/>
            </w:tcBorders>
            <w:noWrap w:val="0"/>
            <w:vAlign w:val="center"/>
          </w:tcPr>
          <w:p w14:paraId="5159A3A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100≤X＜2000</w:t>
            </w:r>
          </w:p>
        </w:tc>
        <w:tc>
          <w:tcPr>
            <w:tcW w:w="1426" w:type="dxa"/>
            <w:tcBorders>
              <w:top w:val="nil"/>
              <w:left w:val="nil"/>
              <w:bottom w:val="nil"/>
              <w:right w:val="single" w:color="1DD600" w:sz="4" w:space="0"/>
            </w:tcBorders>
            <w:noWrap w:val="0"/>
            <w:vAlign w:val="center"/>
          </w:tcPr>
          <w:p w14:paraId="2C34176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1662C8D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B02C2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7970DDC">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4D0963E">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E82AF3A">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63E5A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Y≥100000</w:t>
            </w:r>
          </w:p>
        </w:tc>
        <w:tc>
          <w:tcPr>
            <w:tcW w:w="1701" w:type="dxa"/>
            <w:tcBorders>
              <w:top w:val="nil"/>
              <w:left w:val="nil"/>
              <w:bottom w:val="single" w:color="000000" w:sz="4" w:space="0"/>
              <w:right w:val="single" w:color="1DD600" w:sz="4" w:space="0"/>
            </w:tcBorders>
            <w:noWrap w:val="0"/>
            <w:vAlign w:val="center"/>
          </w:tcPr>
          <w:p w14:paraId="3EEDD35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1000≤Y＜100000</w:t>
            </w:r>
          </w:p>
        </w:tc>
        <w:tc>
          <w:tcPr>
            <w:tcW w:w="1426" w:type="dxa"/>
            <w:tcBorders>
              <w:top w:val="nil"/>
              <w:left w:val="nil"/>
              <w:bottom w:val="single" w:color="000000" w:sz="4" w:space="0"/>
              <w:right w:val="single" w:color="1DD600" w:sz="4" w:space="0"/>
            </w:tcBorders>
            <w:noWrap w:val="0"/>
            <w:vAlign w:val="center"/>
          </w:tcPr>
          <w:p w14:paraId="74348FF5">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B0DFBB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B5E104A">
        <w:tblPrEx>
          <w:tblCellMar>
            <w:top w:w="0" w:type="dxa"/>
            <w:left w:w="108" w:type="dxa"/>
            <w:bottom w:w="0" w:type="dxa"/>
            <w:right w:w="108" w:type="dxa"/>
          </w:tblCellMar>
        </w:tblPrEx>
        <w:trPr>
          <w:trHeight w:val="340" w:hRule="exact"/>
          <w:jc w:val="center"/>
        </w:trPr>
        <w:tc>
          <w:tcPr>
            <w:tcW w:w="2113" w:type="dxa"/>
            <w:vMerge w:val="restart"/>
            <w:tcBorders>
              <w:top w:val="single" w:color="000000" w:sz="4" w:space="0"/>
              <w:left w:val="nil"/>
              <w:bottom w:val="single" w:color="000000" w:sz="4" w:space="0"/>
              <w:right w:val="single" w:color="1DD600" w:sz="4" w:space="0"/>
            </w:tcBorders>
            <w:noWrap w:val="0"/>
            <w:vAlign w:val="center"/>
          </w:tcPr>
          <w:p w14:paraId="71977E78">
            <w:pPr>
              <w:pStyle w:val="104"/>
              <w:widowControl/>
              <w:snapToGrid/>
              <w:spacing w:line="240" w:lineRule="exact"/>
              <w:jc w:val="left"/>
              <w:rPr>
                <w:rFonts w:ascii="宋体" w:hAnsi="宋体" w:eastAsia="宋体"/>
                <w:color w:val="000000"/>
                <w:spacing w:val="-12"/>
                <w:sz w:val="18"/>
                <w:szCs w:val="18"/>
                <w:highlight w:val="none"/>
              </w:rPr>
            </w:pPr>
            <w:r>
              <w:rPr>
                <w:rFonts w:ascii="宋体" w:hAnsi="宋体" w:eastAsia="宋体"/>
                <w:color w:val="000000"/>
                <w:spacing w:val="-12"/>
                <w:sz w:val="18"/>
                <w:szCs w:val="18"/>
                <w:highlight w:val="none"/>
              </w:rPr>
              <w:t>软件和信息技术服</w:t>
            </w:r>
            <w:r>
              <w:rPr>
                <w:rFonts w:ascii="宋体" w:hAnsi="宋体" w:eastAsia="宋体"/>
                <w:color w:val="000000"/>
                <w:sz w:val="18"/>
                <w:szCs w:val="18"/>
                <w:highlight w:val="none"/>
              </w:rPr>
              <w:t>务业</w:t>
            </w:r>
          </w:p>
        </w:tc>
        <w:tc>
          <w:tcPr>
            <w:tcW w:w="1369" w:type="dxa"/>
            <w:tcBorders>
              <w:top w:val="nil"/>
              <w:left w:val="nil"/>
              <w:bottom w:val="nil"/>
              <w:right w:val="single" w:color="1DD600" w:sz="4" w:space="0"/>
            </w:tcBorders>
            <w:noWrap w:val="0"/>
            <w:vAlign w:val="center"/>
          </w:tcPr>
          <w:p w14:paraId="17DBCEA9">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C768CFC">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7D14986">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2296F0DB">
            <w:pPr>
              <w:pStyle w:val="104"/>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7CF16E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805FE5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CF622B7">
        <w:tblPrEx>
          <w:tblCellMar>
            <w:top w:w="0" w:type="dxa"/>
            <w:left w:w="108" w:type="dxa"/>
            <w:bottom w:w="0" w:type="dxa"/>
            <w:right w:w="108" w:type="dxa"/>
          </w:tblCellMar>
        </w:tblPrEx>
        <w:trPr>
          <w:trHeight w:val="340" w:hRule="exact"/>
          <w:jc w:val="center"/>
        </w:trPr>
        <w:tc>
          <w:tcPr>
            <w:tcW w:w="2113" w:type="dxa"/>
            <w:vMerge w:val="continue"/>
            <w:tcBorders>
              <w:top w:val="single" w:color="000000" w:sz="4" w:space="0"/>
              <w:left w:val="nil"/>
              <w:bottom w:val="single" w:color="000000" w:sz="4" w:space="0"/>
              <w:right w:val="single" w:color="1DD600" w:sz="4" w:space="0"/>
            </w:tcBorders>
            <w:noWrap w:val="0"/>
            <w:vAlign w:val="center"/>
          </w:tcPr>
          <w:p w14:paraId="7C54DF7C">
            <w:pPr>
              <w:pStyle w:val="104"/>
              <w:widowControl/>
              <w:snapToGrid/>
              <w:jc w:val="left"/>
              <w:rPr>
                <w:rFonts w:ascii="宋体" w:hAnsi="宋体" w:eastAsia="宋体"/>
                <w:color w:val="000000"/>
                <w:spacing w:val="-12"/>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BD33225">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0EF8F84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F2651A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5424D9D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1000≤Y＜10000</w:t>
            </w:r>
          </w:p>
        </w:tc>
        <w:tc>
          <w:tcPr>
            <w:tcW w:w="1426" w:type="dxa"/>
            <w:tcBorders>
              <w:top w:val="nil"/>
              <w:left w:val="nil"/>
              <w:bottom w:val="single" w:color="000000" w:sz="4" w:space="0"/>
              <w:right w:val="single" w:color="1DD600" w:sz="4" w:space="0"/>
            </w:tcBorders>
            <w:noWrap w:val="0"/>
            <w:vAlign w:val="center"/>
          </w:tcPr>
          <w:p w14:paraId="66C2E8B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50≤Y＜1000</w:t>
            </w:r>
          </w:p>
        </w:tc>
        <w:tc>
          <w:tcPr>
            <w:tcW w:w="992" w:type="dxa"/>
            <w:tcBorders>
              <w:top w:val="nil"/>
              <w:left w:val="nil"/>
              <w:bottom w:val="single" w:color="000000" w:sz="4" w:space="0"/>
              <w:right w:val="nil"/>
            </w:tcBorders>
            <w:noWrap w:val="0"/>
            <w:vAlign w:val="center"/>
          </w:tcPr>
          <w:p w14:paraId="577C48E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443B652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87A8226">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房地产开发经营</w:t>
            </w:r>
          </w:p>
        </w:tc>
        <w:tc>
          <w:tcPr>
            <w:tcW w:w="1369" w:type="dxa"/>
            <w:tcBorders>
              <w:top w:val="nil"/>
              <w:left w:val="nil"/>
              <w:bottom w:val="nil"/>
              <w:right w:val="single" w:color="1DD600" w:sz="4" w:space="0"/>
            </w:tcBorders>
            <w:noWrap w:val="0"/>
            <w:vAlign w:val="center"/>
          </w:tcPr>
          <w:p w14:paraId="3BFC7C1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0D09ABC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05F79AF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Y≥200000</w:t>
            </w:r>
          </w:p>
        </w:tc>
        <w:tc>
          <w:tcPr>
            <w:tcW w:w="1701" w:type="dxa"/>
            <w:tcBorders>
              <w:top w:val="nil"/>
              <w:left w:val="nil"/>
              <w:bottom w:val="nil"/>
              <w:right w:val="single" w:color="1DD600" w:sz="4" w:space="0"/>
            </w:tcBorders>
            <w:noWrap w:val="0"/>
            <w:vAlign w:val="center"/>
          </w:tcPr>
          <w:p w14:paraId="1E47CE46">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1000≤Y＜200000</w:t>
            </w:r>
          </w:p>
        </w:tc>
        <w:tc>
          <w:tcPr>
            <w:tcW w:w="1426" w:type="dxa"/>
            <w:tcBorders>
              <w:top w:val="nil"/>
              <w:left w:val="nil"/>
              <w:bottom w:val="nil"/>
              <w:right w:val="single" w:color="1DD600" w:sz="4" w:space="0"/>
            </w:tcBorders>
            <w:noWrap w:val="0"/>
            <w:vAlign w:val="center"/>
          </w:tcPr>
          <w:p w14:paraId="622B1E3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nil"/>
              <w:right w:val="nil"/>
            </w:tcBorders>
            <w:noWrap w:val="0"/>
            <w:vAlign w:val="center"/>
          </w:tcPr>
          <w:p w14:paraId="42B7F6B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8AD930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0AA950BF">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750DA7C">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04B0588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DFA8CB">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Z≥10000</w:t>
            </w:r>
          </w:p>
        </w:tc>
        <w:tc>
          <w:tcPr>
            <w:tcW w:w="1701" w:type="dxa"/>
            <w:tcBorders>
              <w:top w:val="nil"/>
              <w:left w:val="nil"/>
              <w:bottom w:val="single" w:color="000000" w:sz="4" w:space="0"/>
              <w:right w:val="single" w:color="1DD600" w:sz="4" w:space="0"/>
            </w:tcBorders>
            <w:noWrap w:val="0"/>
            <w:vAlign w:val="center"/>
          </w:tcPr>
          <w:p w14:paraId="3721076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5000≤Z＜10000</w:t>
            </w:r>
          </w:p>
        </w:tc>
        <w:tc>
          <w:tcPr>
            <w:tcW w:w="1426" w:type="dxa"/>
            <w:tcBorders>
              <w:top w:val="nil"/>
              <w:left w:val="nil"/>
              <w:bottom w:val="single" w:color="000000" w:sz="4" w:space="0"/>
              <w:right w:val="single" w:color="1DD600" w:sz="4" w:space="0"/>
            </w:tcBorders>
            <w:noWrap w:val="0"/>
            <w:vAlign w:val="center"/>
          </w:tcPr>
          <w:p w14:paraId="35C4BA9D">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2000≤Z＜5000   </w:t>
            </w:r>
          </w:p>
        </w:tc>
        <w:tc>
          <w:tcPr>
            <w:tcW w:w="992" w:type="dxa"/>
            <w:tcBorders>
              <w:top w:val="nil"/>
              <w:left w:val="nil"/>
              <w:bottom w:val="single" w:color="000000" w:sz="4" w:space="0"/>
              <w:right w:val="nil"/>
            </w:tcBorders>
            <w:noWrap w:val="0"/>
            <w:vAlign w:val="center"/>
          </w:tcPr>
          <w:p w14:paraId="7D1CE40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Z＜2000</w:t>
            </w:r>
          </w:p>
        </w:tc>
      </w:tr>
      <w:tr w14:paraId="7E8E446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EA8F4B5">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物业管理</w:t>
            </w:r>
          </w:p>
        </w:tc>
        <w:tc>
          <w:tcPr>
            <w:tcW w:w="1369" w:type="dxa"/>
            <w:tcBorders>
              <w:top w:val="nil"/>
              <w:left w:val="nil"/>
              <w:bottom w:val="nil"/>
              <w:right w:val="single" w:color="1DD600" w:sz="4" w:space="0"/>
            </w:tcBorders>
            <w:noWrap w:val="0"/>
            <w:vAlign w:val="center"/>
          </w:tcPr>
          <w:p w14:paraId="7B63F6C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7E8F99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CC085EC">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4F39041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5C240D9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992" w:type="dxa"/>
            <w:tcBorders>
              <w:top w:val="nil"/>
              <w:left w:val="nil"/>
              <w:bottom w:val="nil"/>
              <w:right w:val="nil"/>
            </w:tcBorders>
            <w:noWrap w:val="0"/>
            <w:vAlign w:val="center"/>
          </w:tcPr>
          <w:p w14:paraId="3BA244C0">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w:t>
            </w:r>
          </w:p>
        </w:tc>
      </w:tr>
      <w:tr w14:paraId="7D1FAFA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1FE246E3">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5D220C7">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EBECD5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7EE9DDF">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Y≥5000</w:t>
            </w:r>
          </w:p>
        </w:tc>
        <w:tc>
          <w:tcPr>
            <w:tcW w:w="1701" w:type="dxa"/>
            <w:tcBorders>
              <w:top w:val="nil"/>
              <w:left w:val="nil"/>
              <w:bottom w:val="single" w:color="000000" w:sz="4" w:space="0"/>
              <w:right w:val="single" w:color="1DD600" w:sz="4" w:space="0"/>
            </w:tcBorders>
            <w:noWrap w:val="0"/>
            <w:vAlign w:val="center"/>
          </w:tcPr>
          <w:p w14:paraId="1DB9128B">
            <w:pPr>
              <w:pStyle w:val="104"/>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1000≤Y＜5000 </w:t>
            </w:r>
          </w:p>
        </w:tc>
        <w:tc>
          <w:tcPr>
            <w:tcW w:w="1426" w:type="dxa"/>
            <w:tcBorders>
              <w:top w:val="nil"/>
              <w:left w:val="nil"/>
              <w:bottom w:val="single" w:color="000000" w:sz="4" w:space="0"/>
              <w:right w:val="single" w:color="1DD600" w:sz="4" w:space="0"/>
            </w:tcBorders>
            <w:noWrap w:val="0"/>
            <w:vAlign w:val="center"/>
          </w:tcPr>
          <w:p w14:paraId="3412A7F6">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500≤Y＜1000</w:t>
            </w:r>
          </w:p>
        </w:tc>
        <w:tc>
          <w:tcPr>
            <w:tcW w:w="992" w:type="dxa"/>
            <w:tcBorders>
              <w:top w:val="nil"/>
              <w:left w:val="nil"/>
              <w:bottom w:val="single" w:color="000000" w:sz="4" w:space="0"/>
              <w:right w:val="nil"/>
            </w:tcBorders>
            <w:noWrap w:val="0"/>
            <w:vAlign w:val="center"/>
          </w:tcPr>
          <w:p w14:paraId="7BBBEAA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w:t>
            </w:r>
          </w:p>
        </w:tc>
      </w:tr>
      <w:tr w14:paraId="480F176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40603237">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租赁和商务服务业</w:t>
            </w:r>
          </w:p>
        </w:tc>
        <w:tc>
          <w:tcPr>
            <w:tcW w:w="1369" w:type="dxa"/>
            <w:tcBorders>
              <w:top w:val="nil"/>
              <w:left w:val="nil"/>
              <w:bottom w:val="nil"/>
              <w:right w:val="single" w:color="1DD600" w:sz="4" w:space="0"/>
            </w:tcBorders>
            <w:noWrap w:val="0"/>
            <w:vAlign w:val="center"/>
          </w:tcPr>
          <w:p w14:paraId="21805E36">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F9F5899">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1FA187E">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BA6A0DF">
            <w:pPr>
              <w:pStyle w:val="104"/>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FF20AF2">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500D6FA5">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3F6CC2E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7531A48B">
            <w:pPr>
              <w:pStyle w:val="104"/>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A8B73F4">
            <w:pPr>
              <w:pStyle w:val="104"/>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75E10339">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628074">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Z≥120000</w:t>
            </w:r>
          </w:p>
        </w:tc>
        <w:tc>
          <w:tcPr>
            <w:tcW w:w="1701" w:type="dxa"/>
            <w:tcBorders>
              <w:top w:val="nil"/>
              <w:left w:val="nil"/>
              <w:bottom w:val="single" w:color="000000" w:sz="4" w:space="0"/>
              <w:right w:val="single" w:color="1DD600" w:sz="4" w:space="0"/>
            </w:tcBorders>
            <w:noWrap w:val="0"/>
            <w:vAlign w:val="center"/>
          </w:tcPr>
          <w:p w14:paraId="1A0D068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8000≤Z＜120000</w:t>
            </w:r>
          </w:p>
        </w:tc>
        <w:tc>
          <w:tcPr>
            <w:tcW w:w="1426" w:type="dxa"/>
            <w:tcBorders>
              <w:top w:val="nil"/>
              <w:left w:val="nil"/>
              <w:bottom w:val="single" w:color="000000" w:sz="4" w:space="0"/>
              <w:right w:val="single" w:color="1DD600" w:sz="4" w:space="0"/>
            </w:tcBorders>
            <w:noWrap w:val="0"/>
            <w:vAlign w:val="center"/>
          </w:tcPr>
          <w:p w14:paraId="0A2C69AA">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100≤Z＜8000</w:t>
            </w:r>
          </w:p>
        </w:tc>
        <w:tc>
          <w:tcPr>
            <w:tcW w:w="992" w:type="dxa"/>
            <w:tcBorders>
              <w:top w:val="nil"/>
              <w:left w:val="nil"/>
              <w:bottom w:val="single" w:color="000000" w:sz="4" w:space="0"/>
              <w:right w:val="nil"/>
            </w:tcBorders>
            <w:noWrap w:val="0"/>
            <w:vAlign w:val="center"/>
          </w:tcPr>
          <w:p w14:paraId="2AA4BFC1">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w:t>
            </w:r>
          </w:p>
        </w:tc>
      </w:tr>
      <w:tr w14:paraId="11005568">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4580E9EE">
            <w:pPr>
              <w:pStyle w:val="104"/>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其他未列明行业 *</w:t>
            </w:r>
          </w:p>
        </w:tc>
        <w:tc>
          <w:tcPr>
            <w:tcW w:w="1369" w:type="dxa"/>
            <w:tcBorders>
              <w:top w:val="nil"/>
              <w:left w:val="nil"/>
              <w:bottom w:val="single" w:color="000000" w:sz="4" w:space="0"/>
              <w:right w:val="single" w:color="1DD600" w:sz="4" w:space="0"/>
            </w:tcBorders>
            <w:noWrap w:val="0"/>
            <w:vAlign w:val="center"/>
          </w:tcPr>
          <w:p w14:paraId="2309AB37">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single" w:color="000000" w:sz="4" w:space="0"/>
              <w:right w:val="single" w:color="1DD600" w:sz="4" w:space="0"/>
            </w:tcBorders>
            <w:noWrap w:val="0"/>
            <w:vAlign w:val="center"/>
          </w:tcPr>
          <w:p w14:paraId="270592B7">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single" w:color="000000" w:sz="4" w:space="0"/>
              <w:right w:val="single" w:color="1DD600" w:sz="4" w:space="0"/>
            </w:tcBorders>
            <w:noWrap w:val="0"/>
            <w:vAlign w:val="center"/>
          </w:tcPr>
          <w:p w14:paraId="4A20EB68">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single" w:color="000000" w:sz="4" w:space="0"/>
              <w:right w:val="single" w:color="1DD600" w:sz="4" w:space="0"/>
            </w:tcBorders>
            <w:noWrap w:val="0"/>
            <w:vAlign w:val="center"/>
          </w:tcPr>
          <w:p w14:paraId="42E031B6">
            <w:pPr>
              <w:pStyle w:val="104"/>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single" w:color="000000" w:sz="4" w:space="0"/>
              <w:right w:val="single" w:color="1DD600" w:sz="4" w:space="0"/>
            </w:tcBorders>
            <w:noWrap w:val="0"/>
            <w:vAlign w:val="center"/>
          </w:tcPr>
          <w:p w14:paraId="0806EB35">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single" w:color="000000" w:sz="4" w:space="0"/>
              <w:right w:val="nil"/>
            </w:tcBorders>
            <w:noWrap w:val="0"/>
            <w:vAlign w:val="center"/>
          </w:tcPr>
          <w:p w14:paraId="2394CE33">
            <w:pPr>
              <w:pStyle w:val="104"/>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bl>
    <w:p w14:paraId="307807BE">
      <w:pPr>
        <w:pStyle w:val="104"/>
        <w:widowControl/>
        <w:snapToGrid/>
        <w:spacing w:line="540" w:lineRule="exact"/>
        <w:rPr>
          <w:rFonts w:ascii="宋体" w:hAnsi="宋体" w:eastAsia="宋体"/>
          <w:color w:val="000000"/>
          <w:spacing w:val="8"/>
          <w:sz w:val="32"/>
          <w:szCs w:val="32"/>
          <w:highlight w:val="none"/>
        </w:rPr>
      </w:pPr>
      <w:r>
        <w:rPr>
          <w:rFonts w:ascii="宋体" w:hAnsi="宋体" w:eastAsia="宋体"/>
          <w:color w:val="000000"/>
          <w:spacing w:val="8"/>
          <w:sz w:val="32"/>
          <w:szCs w:val="32"/>
          <w:highlight w:val="none"/>
        </w:rPr>
        <w:t>说明：</w:t>
      </w:r>
    </w:p>
    <w:p w14:paraId="34519AB6">
      <w:pPr>
        <w:pStyle w:val="104"/>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1"/>
          <w:szCs w:val="21"/>
          <w:highlight w:val="none"/>
        </w:rPr>
        <w:t>　　</w:t>
      </w:r>
      <w:r>
        <w:rPr>
          <w:rFonts w:ascii="宋体" w:hAnsi="宋体" w:eastAsia="宋体"/>
          <w:color w:val="000000"/>
          <w:spacing w:val="8"/>
          <w:sz w:val="24"/>
          <w:szCs w:val="24"/>
          <w:highlight w:val="none"/>
        </w:rPr>
        <w:t>1.大型、中型和小型企业须同时满足所列指标的下限，否则下划一档；微型企业只须满足所列指标中的一项即可。</w:t>
      </w:r>
    </w:p>
    <w:p w14:paraId="1387917D">
      <w:pPr>
        <w:pStyle w:val="104"/>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19942A">
      <w:pPr>
        <w:pStyle w:val="104"/>
        <w:snapToGrid/>
        <w:spacing w:line="540" w:lineRule="exact"/>
        <w:rPr>
          <w:rFonts w:ascii="宋体" w:hAnsi="宋体" w:eastAsia="宋体"/>
          <w:color w:val="000000"/>
          <w:sz w:val="24"/>
          <w:szCs w:val="24"/>
          <w:highlight w:val="none"/>
        </w:rPr>
      </w:pPr>
      <w:r>
        <w:rPr>
          <w:rFonts w:ascii="宋体" w:hAnsi="宋体" w:eastAsia="宋体"/>
          <w:color w:val="000000"/>
          <w:spacing w:val="8"/>
          <w:sz w:val="24"/>
          <w:szCs w:val="24"/>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6206CC">
      <w:pPr>
        <w:pStyle w:val="104"/>
        <w:pageBreakBefore w:val="0"/>
        <w:wordWrap w:val="0"/>
        <w:snapToGrid w:val="0"/>
        <w:spacing w:line="360" w:lineRule="auto"/>
        <w:jc w:val="center"/>
        <w:rPr>
          <w:rFonts w:ascii="宋体" w:hAnsi="宋体" w:eastAsia="宋体"/>
          <w:color w:val="000000"/>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中小企业划型标准规定</w:t>
      </w:r>
    </w:p>
    <w:p w14:paraId="35B0EA47">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一、根据《中华人民共和国中小企业促进法》和《国务院关于进一步促进中小企业发展的若干意见》(国发〔2009〕36号)，制定本规定。</w:t>
      </w:r>
    </w:p>
    <w:p w14:paraId="3E9E2334">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二、中小企业划分为中型、小型、微型三种类型，具体标准根据企业从业人员、营业收入、资产总额等指标，结合行业特点制定。</w:t>
      </w:r>
    </w:p>
    <w:p w14:paraId="77640D93">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BEAC32">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四、各行业划型标准为：</w:t>
      </w:r>
    </w:p>
    <w:p w14:paraId="538341F6">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D0A0B77">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51A0F4">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1997C2">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2EAE15">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42788C">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6CD1E0">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38326E">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599F83">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373D47">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60FD41">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64E842">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576A76">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9B1EA5D">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B6E343">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82675D">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67372D3D">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五、企业类型的划分以统计部门的统计数据为依据。</w:t>
      </w:r>
    </w:p>
    <w:p w14:paraId="5CE419FF">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六、本规定适用于在中华人民共和国境内依法设立的各类所有制和各种组织形式的企业。个体工商户和本规定以外的行业，参照本规定进行划型。</w:t>
      </w:r>
    </w:p>
    <w:p w14:paraId="0DFD9A51">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BA91832">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八、本规定由工业和信息化部、国家统计局会同有关部门根据《国民经济行业分类》修订情况和企业发展变化情况适时修订。</w:t>
      </w:r>
    </w:p>
    <w:p w14:paraId="6A824214">
      <w:pPr>
        <w:pStyle w:val="104"/>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九、本规定由工业和信息化部、国家统计局会同有关部门负责解释。</w:t>
      </w:r>
    </w:p>
    <w:p w14:paraId="32BD9BFD">
      <w:pPr>
        <w:pStyle w:val="104"/>
        <w:pageBreakBefore w:val="0"/>
        <w:wordWrap w:val="0"/>
        <w:autoSpaceDE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十、本规定自发布之日起执行，原国家经贸委、原国家计委、财政部和国家统计局2003年颁布的《中小企业标准暂行规定》同时废止。</w:t>
      </w:r>
    </w:p>
    <w:p w14:paraId="2A893D56">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2880962A">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81F0256">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6E8A3433">
      <w:pPr>
        <w:pStyle w:val="104"/>
        <w:pageBreakBefore w:val="0"/>
        <w:wordWrap w:val="0"/>
        <w:snapToGrid/>
        <w:spacing w:line="360" w:lineRule="auto"/>
        <w:ind w:left="2242" w:firstLine="602" w:firstLineChars="200"/>
        <w:rPr>
          <w:rFonts w:ascii="宋体" w:hAnsi="宋体" w:eastAsia="宋体"/>
          <w:b/>
          <w:color w:val="000000"/>
          <w:sz w:val="30"/>
          <w:szCs w:val="20"/>
          <w:highlight w:val="none"/>
        </w:rPr>
      </w:pPr>
    </w:p>
    <w:p w14:paraId="23525EBA">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1AEAB0A">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各省、自治区、</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"https://wenwen.sogou.com/s/?w=直辖市人民政府&amp;ch=ww.xqy.chain"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直辖市人民政府</w:t>
      </w:r>
      <w:r>
        <w:rPr>
          <w:rFonts w:ascii="宋体" w:hAnsi="宋体" w:eastAsia="宋体"/>
          <w:color w:val="000000"/>
          <w:szCs w:val="24"/>
          <w:highlight w:val="none"/>
        </w:rPr>
        <w:fldChar w:fldCharType="end"/>
      </w:r>
      <w:r>
        <w:rPr>
          <w:rFonts w:ascii="宋体" w:hAnsi="宋体" w:eastAsia="宋体"/>
          <w:color w:val="000000"/>
          <w:sz w:val="24"/>
          <w:szCs w:val="24"/>
          <w:highlight w:val="none"/>
        </w:rPr>
        <w:t>，国务院各部委、各直属机构：　　</w:t>
      </w:r>
    </w:p>
    <w:p w14:paraId="3A84BEBF">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中小企业是我国国民经济和社会发展的重要力量，促进中小企业发展，是保持国民经济平稳较快发展的重要基础，是关系民生和社会稳定的重大战略任务。受国际金融危机冲击，去年下半年以来，我国中小企业生产经营困难。中央及时出台相关政策措施，加大财税、信贷等扶持力度，改善中小</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"https://wenwen.sogou.com/s/?w=企业经营环境&amp;ch=ww.xqy.chain"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企业经营环境</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，中小企业生产经营出现了积极变化，但发展形势依然严峻。主要表现在：融资难、担保难问题依然突出，部分扶持政策尚未落实到位，企业负担重，市场需求不足，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"https://wenwen.sogou.com/s/?w=产能过剩&amp;ch=ww.xqy.chain"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产能过剩</w:t>
      </w:r>
      <w:r>
        <w:rPr>
          <w:rFonts w:ascii="宋体" w:hAnsi="宋体" w:eastAsia="宋体"/>
          <w:color w:val="000000"/>
          <w:szCs w:val="24"/>
          <w:highlight w:val="none"/>
        </w:rPr>
        <w:fldChar w:fldCharType="end"/>
      </w:r>
      <w:r>
        <w:rPr>
          <w:rFonts w:ascii="宋体" w:hAnsi="宋体" w:eastAsia="宋体"/>
          <w:color w:val="000000"/>
          <w:sz w:val="24"/>
          <w:szCs w:val="24"/>
          <w:highlight w:val="none"/>
        </w:rPr>
        <w:t>，经济效益大幅下降，亏损加大等。必须采取更加积极有效的政策措施，帮助中小企业克服困难，转变发展方式，实现</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"https://wenwen.sogou.com/s/?w=又好又快发展&amp;ch=ww.xqy.chain"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又好又快发展</w:t>
      </w:r>
      <w:r>
        <w:rPr>
          <w:rFonts w:ascii="宋体" w:hAnsi="宋体" w:eastAsia="宋体"/>
          <w:color w:val="000000"/>
          <w:szCs w:val="24"/>
          <w:highlight w:val="none"/>
        </w:rPr>
        <w:fldChar w:fldCharType="end"/>
      </w:r>
      <w:r>
        <w:rPr>
          <w:rFonts w:ascii="宋体" w:hAnsi="宋体" w:eastAsia="宋体"/>
          <w:color w:val="000000"/>
          <w:sz w:val="24"/>
          <w:szCs w:val="24"/>
          <w:highlight w:val="none"/>
        </w:rPr>
        <w:t>。现就进一步促进中小企业发展提出以下意见：　</w:t>
      </w:r>
    </w:p>
    <w:p w14:paraId="7B184119">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进一步营造有利于中小企业发展的良好环境　　</w:t>
      </w:r>
    </w:p>
    <w:p w14:paraId="7641AB1C">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"https://wenwen.sogou.com/s/?w=中小企业政策&amp;ch=ww.xqy.chain"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中小企业政策</w:t>
      </w:r>
      <w:r>
        <w:rPr>
          <w:rFonts w:ascii="宋体" w:hAnsi="宋体" w:eastAsia="宋体"/>
          <w:color w:val="000000"/>
          <w:szCs w:val="24"/>
          <w:highlight w:val="none"/>
        </w:rPr>
        <w:fldChar w:fldCharType="end"/>
      </w:r>
      <w:r>
        <w:rPr>
          <w:rFonts w:ascii="宋体" w:hAnsi="宋体" w:eastAsia="宋体"/>
          <w:color w:val="000000"/>
          <w:sz w:val="24"/>
          <w:szCs w:val="24"/>
          <w:highlight w:val="none"/>
        </w:rPr>
        <w:t>法律体系。落实扶持中小企业发展的政策措施，清理不利于中小企业发展的法律法规和规章制度。深化</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"https://wenwen.sogou.com/s/?w=垄断行业&amp;ch=ww.xqy.chain"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垄断行业</w:t>
      </w:r>
      <w:r>
        <w:rPr>
          <w:rFonts w:ascii="宋体" w:hAnsi="宋体" w:eastAsia="宋体"/>
          <w:color w:val="000000"/>
          <w:szCs w:val="24"/>
          <w:highlight w:val="none"/>
        </w:rPr>
        <w:fldChar w:fldCharType="end"/>
      </w:r>
      <w:r>
        <w:rPr>
          <w:rFonts w:ascii="宋体" w:hAnsi="宋体" w:eastAsia="宋体"/>
          <w:color w:val="000000"/>
          <w:sz w:val="24"/>
          <w:szCs w:val="24"/>
          <w:highlight w:val="none"/>
        </w:rPr>
        <w:t>改革，扩大市场准入范围，降低准入门槛，进一步营造公开、公平的市场环境。加快制定</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"https://wenwen.sogou.com/s/?w=融资性担保&amp;ch=ww.xqy.chain"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融资性担保</w:t>
      </w:r>
      <w:r>
        <w:rPr>
          <w:rFonts w:ascii="宋体" w:hAnsi="宋体" w:eastAsia="宋体"/>
          <w:color w:val="000000"/>
          <w:szCs w:val="24"/>
          <w:highlight w:val="none"/>
        </w:rPr>
        <w:fldChar w:fldCharType="end"/>
      </w:r>
      <w:r>
        <w:rPr>
          <w:rFonts w:ascii="宋体" w:hAnsi="宋体" w:eastAsia="宋体"/>
          <w:color w:val="000000"/>
          <w:sz w:val="24"/>
          <w:szCs w:val="24"/>
          <w:highlight w:val="none"/>
        </w:rPr>
        <w:t>管理办法，修订《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"https://wenwen.sogou.com/s/?w=贷款通则&amp;ch=ww.xqy.chain"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贷款通则</w:t>
      </w:r>
      <w:r>
        <w:rPr>
          <w:rFonts w:ascii="宋体" w:hAnsi="宋体" w:eastAsia="宋体"/>
          <w:color w:val="000000"/>
          <w:szCs w:val="24"/>
          <w:highlight w:val="none"/>
        </w:rPr>
        <w:fldChar w:fldCharType="end"/>
      </w:r>
      <w:r>
        <w:rPr>
          <w:rFonts w:ascii="宋体" w:hAnsi="宋体" w:eastAsia="宋体"/>
          <w:color w:val="000000"/>
          <w:sz w:val="24"/>
          <w:szCs w:val="24"/>
          <w:highlight w:val="none"/>
        </w:rPr>
        <w:t>》，修订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"https://wenwen.sogou.com/s/?w=中小企业划型标准&amp;ch=ww.xqy.chain"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中小企业划型标准</w:t>
      </w:r>
      <w:r>
        <w:rPr>
          <w:rFonts w:ascii="宋体" w:hAnsi="宋体" w:eastAsia="宋体"/>
          <w:color w:val="000000"/>
          <w:szCs w:val="24"/>
          <w:highlight w:val="none"/>
        </w:rPr>
        <w:fldChar w:fldCharType="end"/>
      </w:r>
      <w:r>
        <w:rPr>
          <w:rFonts w:ascii="宋体" w:hAnsi="宋体" w:eastAsia="宋体"/>
          <w:color w:val="000000"/>
          <w:sz w:val="24"/>
          <w:szCs w:val="24"/>
          <w:highlight w:val="none"/>
        </w:rPr>
        <w:t>，明确对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"https://wenwen.sogou.com/s/?w=小型企业&amp;ch=ww.xqy.chain"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小型企业</w:t>
      </w:r>
      <w:r>
        <w:rPr>
          <w:rFonts w:ascii="宋体" w:hAnsi="宋体" w:eastAsia="宋体"/>
          <w:color w:val="000000"/>
          <w:szCs w:val="24"/>
          <w:highlight w:val="none"/>
        </w:rPr>
        <w:fldChar w:fldCharType="end"/>
      </w:r>
      <w:r>
        <w:rPr>
          <w:rFonts w:ascii="宋体" w:hAnsi="宋体" w:eastAsia="宋体"/>
          <w:color w:val="000000"/>
          <w:sz w:val="24"/>
          <w:szCs w:val="24"/>
          <w:highlight w:val="none"/>
        </w:rPr>
        <w:t>的扶持政策。　　</w:t>
      </w:r>
    </w:p>
    <w:p w14:paraId="37BF4DA2">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完善政府采购支持中小企业的有关制度。制定政府采购扶持中小企业发展的具体办法，提高采购中小企业货物、工程和服务的比例。进一步提高</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"https://wenwen.sogou.com/s/?w=政府采购信息发布&amp;ch=ww.xqy.chain"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政府采购信息发布</w:t>
      </w:r>
      <w:r>
        <w:rPr>
          <w:rFonts w:ascii="宋体" w:hAnsi="宋体" w:eastAsia="宋体"/>
          <w:color w:val="000000"/>
          <w:szCs w:val="24"/>
          <w:highlight w:val="none"/>
        </w:rPr>
        <w:fldChar w:fldCharType="end"/>
      </w:r>
      <w:r>
        <w:rPr>
          <w:rFonts w:ascii="宋体" w:hAnsi="宋体" w:eastAsia="宋体"/>
          <w:color w:val="000000"/>
          <w:sz w:val="24"/>
          <w:szCs w:val="24"/>
          <w:highlight w:val="none"/>
        </w:rPr>
        <w:t>透明度，完善政府公共服务外包制度，为中小企业创造更多的参与机会。　　</w:t>
      </w:r>
    </w:p>
    <w:p w14:paraId="54CDEA3D">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的权益保护。组织开展对中小企业相关法律和政策特别是金融、财税政策贯彻落实情况的监督检查，发挥新闻舆论和社会监督的作用，加强政策效果评价。坚持依法行政，保护中小企业及其职工的合法权益。　　</w:t>
      </w:r>
    </w:p>
    <w:p w14:paraId="09F27120">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构建和谐劳动关系。采取切实有效措施，加大对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"https://wenwen.sogou.com/s/?w=劳动密集型&amp;ch=ww.xqy.chain"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劳动密集型</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中小企业的支持，鼓励中小企业不裁员、少裁员，稳定和增加就业岗位。对中小企业吸纳困难人员就业、签订劳动合同并缴纳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"https://wenwen.sogou.com/s/?w=社会保险费&amp;ch=ww.xqy.chain"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社会保险费</w:t>
      </w:r>
      <w:r>
        <w:rPr>
          <w:rFonts w:ascii="宋体" w:hAnsi="宋体" w:eastAsia="宋体"/>
          <w:color w:val="000000"/>
          <w:szCs w:val="24"/>
          <w:highlight w:val="none"/>
        </w:rPr>
        <w:fldChar w:fldCharType="end"/>
      </w:r>
      <w:r>
        <w:rPr>
          <w:rFonts w:ascii="宋体" w:hAnsi="宋体" w:eastAsia="宋体"/>
          <w:color w:val="000000"/>
          <w:sz w:val="24"/>
          <w:szCs w:val="24"/>
          <w:highlight w:val="none"/>
        </w:rPr>
        <w:t>的，在相应期限内给予</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"https://wenwen.sogou.com/s/?w=基本养老保险&amp;ch=ww.xqy.chain"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基本养老保险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"https://wenwen.sogou.com/s/?w=基本医疗保险&amp;ch=ww.xqy.chain"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基本医疗保险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"https://wenwen.sogou.com/s/?w=失业保险&amp;ch=ww.xqy.chain"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失业保险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补贴。对受金融危机影响较大的困难中小企业，将阶段性缓缴社会保险费或降低费率政策执行期延长至2010年底，并按规定给予一定期限的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"https://wenwen.sogou.com/s/?w=社会保险补贴&amp;ch=ww.xqy.chain"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社会保险补贴</w:t>
      </w:r>
      <w:r>
        <w:rPr>
          <w:rFonts w:ascii="宋体" w:hAnsi="宋体" w:eastAsia="宋体"/>
          <w:color w:val="000000"/>
          <w:szCs w:val="24"/>
          <w:highlight w:val="none"/>
        </w:rPr>
        <w:fldChar w:fldCharType="end"/>
      </w:r>
      <w:r>
        <w:rPr>
          <w:rFonts w:ascii="宋体" w:hAnsi="宋体" w:eastAsia="宋体"/>
          <w:color w:val="000000"/>
          <w:sz w:val="24"/>
          <w:szCs w:val="24"/>
          <w:highlight w:val="none"/>
        </w:rPr>
        <w:t>或岗位补贴、在岗培训补贴等。中小企业可与职工就工资、工时、</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"https://wenwen.sogou.com/s/?w=劳动定额&amp;ch=ww.xqy.chain"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劳动定额</w:t>
      </w:r>
      <w:r>
        <w:rPr>
          <w:rFonts w:ascii="宋体" w:hAnsi="宋体" w:eastAsia="宋体"/>
          <w:color w:val="000000"/>
          <w:szCs w:val="24"/>
          <w:highlight w:val="none"/>
        </w:rPr>
        <w:fldChar w:fldCharType="end"/>
      </w:r>
      <w:r>
        <w:rPr>
          <w:rFonts w:ascii="宋体" w:hAnsi="宋体" w:eastAsia="宋体"/>
          <w:color w:val="000000"/>
          <w:sz w:val="24"/>
          <w:szCs w:val="24"/>
          <w:highlight w:val="none"/>
        </w:rPr>
        <w:t>进行协商，符合条件的，可向当地人力资源社会保障部门申请实行综合计算工时和</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"https://wenwen.sogou.com/s/?w=不定时工作制&amp;ch=ww.xqy.chain"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不定时工作制</w:t>
      </w:r>
      <w:r>
        <w:rPr>
          <w:rFonts w:ascii="宋体" w:hAnsi="宋体" w:eastAsia="宋体"/>
          <w:color w:val="000000"/>
          <w:szCs w:val="24"/>
          <w:highlight w:val="none"/>
        </w:rPr>
        <w:fldChar w:fldCharType="end"/>
      </w:r>
      <w:r>
        <w:rPr>
          <w:rFonts w:ascii="宋体" w:hAnsi="宋体" w:eastAsia="宋体"/>
          <w:color w:val="000000"/>
          <w:sz w:val="24"/>
          <w:szCs w:val="24"/>
          <w:highlight w:val="none"/>
        </w:rPr>
        <w:t>。　　</w:t>
      </w:r>
    </w:p>
    <w:p w14:paraId="65E7BC48">
      <w:pPr>
        <w:pStyle w:val="104"/>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切实缓解</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"https://wenwen.sogou.com/s/?w=中小企业融资&amp;ch=ww.xqy.chain"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中小企业融资</w:t>
      </w:r>
      <w:r>
        <w:rPr>
          <w:rFonts w:ascii="宋体" w:hAnsi="宋体" w:eastAsia="宋体"/>
          <w:color w:val="000000"/>
          <w:szCs w:val="24"/>
          <w:highlight w:val="none"/>
        </w:rPr>
        <w:fldChar w:fldCharType="end"/>
      </w:r>
      <w:r>
        <w:rPr>
          <w:rFonts w:ascii="宋体" w:hAnsi="宋体" w:eastAsia="宋体"/>
          <w:color w:val="000000"/>
          <w:sz w:val="24"/>
          <w:szCs w:val="24"/>
          <w:highlight w:val="none"/>
        </w:rPr>
        <w:t>困难　　</w:t>
      </w:r>
    </w:p>
    <w:p w14:paraId="471A1B62">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全面落实支持小企业发展的金融政策。完善小企业信贷考核体系，提高小企业贷款呆账核销效率，建立完善信贷人员尽职免责机制。鼓励建立小企业贷款风险补偿基金，对金融机构发放小企业贷款按增量给予适度补助，对小企业不良贷款损失给予适度风险补偿。　　</w:t>
      </w:r>
    </w:p>
    <w:p w14:paraId="19BE9725">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和改善对中小企业的金融服务。国有商业银行和股份制银行都要建立小企业金融服务专营机构，完善中小企业授信业务制度，逐步提高中小企业中长期贷款的规模和比重。提高贷款审批效率，创新金融产品和服务方式。完善财产抵押制度和贷款抵押物认定办法，采取动产、应收账款、仓单、股权和知识产权质押等方式，缓解中小企业贷款抵质押不足的矛盾。对商业银行开展中小企业信贷业务实行差异化的监管政策。建立和完善中小企业金融服务体系。加快研究鼓励民间资本参与发起设立村镇银行、贷款公司等股份制金融机构的办法；积极支持民间资本以投资入股的方式，参与农村信用社改制为农村商业(合作)银行、城市信用社改制为城市商业银行以及城市商业银行的增资扩股。支持、规范发展小额贷款公司，鼓励有条件的小额贷款公司转为村镇银行。　　</w:t>
      </w:r>
    </w:p>
    <w:p w14:paraId="2F095818">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拓宽中小企业融资渠道。加快创业板市场建设，完善中小企业上市育成机制，扩大中小企业上市规模，增加直接融资。完善创业投资和融资租赁政策，大力发展创业投资和融资租赁企业。鼓励有关部门和地方政府设立创业投资引导基金，引导社会资金设立主要支持中小企业的创业投资企业，积极发展股权投资基金。发挥融资租赁、典当、信托等融资方式在中小企业融资中的作用。稳步扩大中小企业集合债券和短期融资券的发行规模，积极培育和规范发展产权交易市场，为中小企业产权和股权交易提供服务。　</w:t>
      </w:r>
    </w:p>
    <w:p w14:paraId="2034958F">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中小企业信用担保体系。设立包括中央、地方财政出资和企业联合组建的多层次中小企业融资担保基金和担保机构。各级财政要加大支持力度，综合运用资本注入、风险补偿和奖励补助等多种方式，提高担保机构对中小企业的融资担保能力。落实好对符合条件的中小企业信用担保机构免征营业税、准备金提取和代偿损失税前扣除的政策。国土资源、住房城乡建设、金融、工商等部门要为中小企业和担保机构开展抵押物和出质的登记、确权、转让等提供优质服务。加强对融资性担保机构的监管，引导其规范发展。鼓励保险机构积极开发为中小企业服务的保险产品。　　</w:t>
      </w:r>
    </w:p>
    <w:p w14:paraId="47FA5B67">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发挥信用信息服务在中小企业融资中的作用。推进中小企业信用制度建设，建立和完善中小企业信用信息征集机制和评价体系，提高中小企业的融资信用等级。完善个人和企业征信系统，为中小企业融资提供方便快速的查询服务。构建守信受益、失信惩戒的信用约束机制，增强中小企业信用意识。　　</w:t>
      </w:r>
    </w:p>
    <w:p w14:paraId="784782AD">
      <w:pPr>
        <w:pStyle w:val="104"/>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加大对中小企业的财税扶持力度　</w:t>
      </w:r>
    </w:p>
    <w:p w14:paraId="5BF33FBE">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财政资金支持力度。逐步扩大中央财政预算扶持中小企业发展的专项资金规模，重点支持中小企业技术创新、结构调整、节能减排、开拓市场、扩大就业，以及改善对中小企业的公共服务。加快设立国家中小企业发展基金，发挥财政资金的引导作用，带动社会资金支持中小企业发展。地方财政也要加大对中小企业的支持力度。　　</w:t>
      </w:r>
    </w:p>
    <w:p w14:paraId="795F3215">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落实和完善税收优惠政策。国家运用税收政策促进中小企业发展，具体政策由财政部、税务总局会同有关部门研究制定。为有效应对国际金融危机，扶持中小企业发展，自2010年1月1日至2010年12月31日，对年应纳税所得额低于3万元(含3万元)的小型微利企业，其所得减按50%计入应纳税所得额，按20%的税率缴纳企业所得税。中小企业投资国家鼓励类项目，除《国内投资项目不予免税的进口商品目录》所列商品外，所需的进口自用设备以及按照合同随设备进口的技术及配套件、备件，免征进口关税。中小企业缴纳城镇土地使用税确有困难的，可按有关规定向省级财税部门或省级人民政府提出减免税申请。中小企业因有特殊困难不能按期纳税的，可依法申请在三个月内延期缴纳。　</w:t>
      </w:r>
    </w:p>
    <w:p w14:paraId="514D2590">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减轻中小企业社会负担。凡未按规定权限和程序批准的行政事业性收费项目和政府性基金项目，均一律取消。全面清理整顿涉及中小企业的收费，重点是行政许可和强制准入的中介服务收费、具有垄断性的经营服务收费，能免则免，能减则减，能缓则缓。严格执行收费项目公示制度，公开前置性审批项目、程序和收费标准，严禁地方和部门越权设立行政事业性收费项目，不得擅自将行政事业性收费转为经营服务性收费。进一步规范执收行为，全面实行中小企业缴费登记卡制度，设立各级政府中小企业负担举报电话。健全各级政府中小企业负担监督制度，严肃查处乱收费、乱罚款及各种摊派行为。任何部门和单位不得通过强制中小企业购买产品、接受指定服务等手段牟利。严格执行税收征收管理法律法规，不得违规向中小企业提前征税或者摊派税款。　　</w:t>
      </w:r>
    </w:p>
    <w:p w14:paraId="2789F520">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四、加快中小企业技术进步和结构调整　　</w:t>
      </w:r>
    </w:p>
    <w:p w14:paraId="67A0D7DF">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提高技术创新能力和产品质量。支持中小企业加大研发投入，开发先进适用的技术、工艺和设备，研制适销对路的新产品，提高产品质量。加强产学研联合和资源整合，加强知识产权保护，重点在轻工、纺织、电子等行业推进品牌建设，引导和支持中小企业创建自主品牌。支持中华老字号等传统优势中小企业申请商标注册，保护商标专用权，鼓励挖掘、保护、改造民间特色传统工艺，提升特色产业。　　</w:t>
      </w:r>
    </w:p>
    <w:p w14:paraId="750EE7C0">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加快技术改造。按照重点产业调整和振兴规划要求，支持中小企业采用新技术、新工艺、新设备、新材料进行技术改造。中央预算内技术改造专项投资中，要安排中小企业技术改造资金，地方政府也要安排中小企业技术改造专项资金。中小企业的固定资产由于技术进步原因需加速折旧的，可按规定缩短折旧年限或者采取加速折旧的方法。　　</w:t>
      </w:r>
    </w:p>
    <w:p w14:paraId="6C50ADF8">
      <w:pPr>
        <w:pStyle w:val="104"/>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推进中小企业节能减排和清洁生产。促进重点节能减排技术和高效节能环保产品、设备在中小企业的推广应用。按照发展循环经济的要求，鼓励中小企业间资源循环利用。鼓励专业服务机构为中小企业提供合同能源管理、节能设备租赁等服务。充分发挥市场机制作用，综合运用金融、环保、土地、产业政策等手段，依法淘汰中小企业中的落后技术、工艺、设备和产品，防止落后产能异地转移。严格控制过剩产能和“两高一资”行业盲目发展。对纳入环境保护、节能节水企业所得税优惠目录的投资项目，按规定给予企业所得税优惠。　　</w:t>
      </w:r>
    </w:p>
    <w:p w14:paraId="3193D9FA">
      <w:pPr>
        <w:pStyle w:val="104"/>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企业协作配套水平。鼓励中小企业与大型企业开展多种形式的经济技术合作，建立稳定的供应、生产、销售等协作关系。鼓励大型企业通过专业分工、服务外包、订单生产等方式，加强与中小企业的协作配套，积极向中小企业提供技术、人才、设备、资金支持，及时支付货款和服务费用。　　</w:t>
      </w:r>
    </w:p>
    <w:p w14:paraId="540209BB">
      <w:pPr>
        <w:pStyle w:val="104"/>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引导中小企业集聚发展。按照布局合理、特色鲜明、用地集约、生态环保的原则，支持培育一批重点示范产业集群。加强产业集群环境建设，改善产业集聚条件，完善服务功能，壮大龙头骨干企业，延长产业链，提高专业化协作水平。鼓励东部地区先进的中小企业通过收购、兼并、重组、联营等多种形式，加强与中西部地区中小企业的合作，实现产业有序转移。　</w:t>
      </w:r>
    </w:p>
    <w:p w14:paraId="79F2ABF5">
      <w:pPr>
        <w:pStyle w:val="104"/>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快发展生产性服务业。鼓励支持中小企业在科技研发、工业设计、技术咨询、信息服务、现代物流等生产性服务业领域发展。积极促进中小企业在软件开发、服务外包、网络动漫、广告创意、电子商务等新兴领域拓展，扩大就业渠道，培育新的经济增长点。　　</w:t>
      </w:r>
    </w:p>
    <w:p w14:paraId="6781E9D4">
      <w:pPr>
        <w:pStyle w:val="104"/>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支持中小企业开拓市场　</w:t>
      </w:r>
    </w:p>
    <w:p w14:paraId="7CCE5997">
      <w:pPr>
        <w:pStyle w:val="104"/>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引导中小企业积极开拓国内市场。支持符合条件的中小企业参与家电、农机、汽车摩托车下乡和家电、汽车“以旧换新”等业务。中小企业专项资金、技术改造资金等要重点支持销售渠道稳定、市场占有率高的中小企业。采取财政补助、降低展费标准等方式，支持中小企业参加各类展览展销活动。支持建立各类中小企业产品技术展示中心，办好中国国际中小企业博览会等展览展销活动。鼓励电信、网络运营企业以及新闻媒体积极发布市场信息，帮助中小企业宣传产品，开拓市场。　　</w:t>
      </w:r>
    </w:p>
    <w:p w14:paraId="23BE4C15">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支持中小企业开拓国际市场。进一步落实出口退税等支持政策，研究完善稳定外需、促进外贸发展的相关政策措施，稳定和开拓国际市场。充分发挥中小企业国际市场开拓资金和出口信用保险的作用，加大优惠出口信贷对中小企业的支持力度。鼓励支持有条件的中小企业到境外开展并购等投资业务，收购技术和品牌，带动产品和服务出口。　　</w:t>
      </w:r>
    </w:p>
    <w:p w14:paraId="6143BEA3">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一)支持中小企业提高自身市场开拓能力。引导中小企业加强市场分析预测，把握市场机遇，增强质量、品牌和营销意识，改善售后服务，提高市场竞争力。提升和改造商贸流通业，推广连锁经营、特许经营等现代经营方式和新型业态，帮助和鼓励中小企业采用电子商务，降低市场开拓成本。支持餐饮、旅游、休闲、家政、物业、社区服务等行业拓展服务领域，创新服务方式，促进扩大消费。　</w:t>
      </w:r>
    </w:p>
    <w:p w14:paraId="28A7A0C9">
      <w:pPr>
        <w:pStyle w:val="104"/>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努力改进对中小企业的服务　　</w:t>
      </w:r>
    </w:p>
    <w:p w14:paraId="77B834B1">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二)加快推进中小企业服务体系建设。加强统筹规划，完善服务网络和服务设施，积极培育各级中小企业综合服务机构。通过资格认定、业务委托、奖励等方式，发挥工商联以及行业协会(商会)和综合服务机构的作用，引导和带动专业服务机构的发展。建立和完善财政补助机制，支持服务机构开展信息、培训、技术、创业、质量检验、企业管理等服务。　　</w:t>
      </w:r>
    </w:p>
    <w:p w14:paraId="6F0CFE9F">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三)加快中小企业公共服务基础设施建设。通过引导社会投资、财政资金支持等多种方式，重点支持在轻工、纺织、电子信息等领域建设一批产品研发、检验检测、技术推广等公共服务平台。支持小企业创业基地建设，改善创业和发展环境。鼓励高等院校、科研院所、企业技术中心开放科技资源，开展共性关键技术研究，提高服务中小企业的水平。完善中小企业信息服务网络，加快发展政策解读、技术推广、人才交流、业务培训和市场营销等重点信息服务。　　</w:t>
      </w:r>
    </w:p>
    <w:p w14:paraId="2BB0A735">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四)完善政府对中小企业的服务。深化行政审批制度改革，全面清理并进一步减少、合并行政审批事项，实现审批内容、标准和程序的公开化、规范化。投资、工商、税务、质检、环保等部门要简化程序、缩短时限、提高效率，为中小企业设立、生产经营等提供便捷服务。地方各级政府在制定和实施土地利用总体规划和年度计划时，要统筹考虑中小企业投资项目用地需求，合理安排用地指标。　</w:t>
      </w:r>
    </w:p>
    <w:p w14:paraId="10E5BFE5">
      <w:pPr>
        <w:pStyle w:val="104"/>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提高中小企业经营管理水平</w:t>
      </w:r>
    </w:p>
    <w:p w14:paraId="2084AD17">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五)引导和支持中小企业加强管理。支持培育中小企业管理咨询机构，开展管理咨询活动。引导中小企业加强基础管理，强化营销和风险管理，完善治理结构，推进管理创新，提高经营管理水平。督促中小企业苦练内功、降本增效，严格遵守安全、环保、质量、卫生、劳动保障等法律法规，诚实守信经营，履行社会责任。　　</w:t>
      </w:r>
    </w:p>
    <w:p w14:paraId="0C97C1BE">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六)大力开展对中小企业各类人员的培训。实施中小企业银河培训工程，加大财政支持力度，充分发挥行业协会(商会)、中小企业培训机构的作用，广泛采用网络技术等手段，开展政策法规、企业管理、市场营销、专业技能、客户服务等各类培训。高度重视对企业经营管理者的培训，在3年内选择100万家成长型中小企业，对其经营管理者实施全面培训。　　</w:t>
      </w:r>
    </w:p>
    <w:p w14:paraId="179D7D59">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七)加快推进中小企业信息化。继续实施中小企业信息化推进工程，加快推进重点区域中小企业信息化试点，引导中小企业利用信息技术提高研发、管理、制造和服务水平，提高市场营销和售后服务能力。鼓励信息技术企业开发和搭建行业应用平台，为中小企业信息化提供软硬件工具、项目外包、工业设计等社会化服务。　　</w:t>
      </w:r>
    </w:p>
    <w:p w14:paraId="29E8F738">
      <w:pPr>
        <w:pStyle w:val="104"/>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加强对中小企业工作的领导　　</w:t>
      </w:r>
    </w:p>
    <w:p w14:paraId="7628AA5E">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八)加强指导协调。成立国务院促进中小企业发展工作领导小组，加强对中小企业工作的统筹规划、组织领导和政策协调，领导小组办公室设在工业和信息化部。各地可根据工作需要，建立相应的组织机构和工作机制。</w:t>
      </w:r>
    </w:p>
    <w:p w14:paraId="75AC80CA">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　(二十九)建立中小企业统计监测制度。统计部门要建立和完善对中小企业的分类统计、监测、分析和发布制度，加强对规模以下企业的统计分析工作。有关部门要及时向社会公开发布发展规划、产业政策、行业动态等信息，逐步建立中小企业市场监测、风险防范和预警机制。　</w:t>
      </w:r>
    </w:p>
    <w:p w14:paraId="2ED7AD6C">
      <w:pPr>
        <w:pStyle w:val="104"/>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highlight w:val="none"/>
        </w:rPr>
        <w:sectPr>
          <w:footnotePr>
            <w:pos w:val="beneathText"/>
          </w:footnotePr>
          <w:pgSz w:w="11906" w:h="16838"/>
          <w:pgMar w:top="1134" w:right="1134" w:bottom="1134" w:left="1134" w:header="1020" w:footer="992" w:gutter="0"/>
          <w:cols w:space="1701" w:num="1"/>
          <w:docGrid w:type="lines" w:linePitch="312" w:charSpace="0"/>
        </w:sectPr>
      </w:pPr>
      <w:r>
        <w:rPr>
          <w:rFonts w:ascii="宋体" w:hAnsi="宋体" w:eastAsia="宋体"/>
          <w:color w:val="000000"/>
          <w:sz w:val="24"/>
          <w:szCs w:val="24"/>
          <w:highlight w:val="none"/>
        </w:rPr>
        <w:t>　促进中小企业健康发展既是一项长期战略任务，也是当前保增长、扩内需、调结构、促发展、惠民生的紧迫任务。各地区、各有关部门要进一步提高认识，统一思想，结合实际，尽快制定贯彻本意见的具体办法，并切实抓好落实。</w:t>
      </w:r>
    </w:p>
    <w:p w14:paraId="7DC67EEC">
      <w:pPr>
        <w:pStyle w:val="104"/>
        <w:pageBreakBefore w:val="0"/>
        <w:wordWrap w:val="0"/>
        <w:snapToGrid/>
        <w:spacing w:line="360" w:lineRule="auto"/>
        <w:ind w:firstLine="487" w:firstLineChars="202"/>
        <w:jc w:val="center"/>
        <w:rPr>
          <w:rFonts w:ascii="宋体" w:hAnsi="宋体" w:eastAsia="宋体"/>
          <w:b/>
          <w:color w:val="000000"/>
          <w:sz w:val="24"/>
          <w:szCs w:val="24"/>
          <w:highlight w:val="none"/>
        </w:rPr>
      </w:pPr>
      <w:r>
        <w:rPr>
          <w:rFonts w:ascii="宋体" w:hAnsi="宋体" w:eastAsia="宋体"/>
          <w:b/>
          <w:color w:val="000000"/>
          <w:sz w:val="24"/>
          <w:szCs w:val="24"/>
          <w:highlight w:val="none"/>
        </w:rPr>
        <w:t>关于促进残疾人就业政府采购政策的通知</w:t>
      </w:r>
    </w:p>
    <w:p w14:paraId="11A2FB9A">
      <w:pPr>
        <w:pStyle w:val="104"/>
        <w:pageBreakBefore w:val="0"/>
        <w:widowControl/>
        <w:wordWrap w:val="0"/>
        <w:snapToGrid/>
        <w:spacing w:line="360" w:lineRule="auto"/>
        <w:ind w:firstLine="480" w:firstLineChars="200"/>
        <w:jc w:val="center"/>
        <w:rPr>
          <w:rFonts w:ascii="宋体" w:hAnsi="宋体" w:eastAsia="宋体"/>
          <w:b/>
          <w:color w:val="000000"/>
          <w:sz w:val="24"/>
          <w:szCs w:val="24"/>
          <w:highlight w:val="none"/>
        </w:rPr>
      </w:pPr>
      <w:bookmarkStart w:id="14" w:name="sendNo"/>
      <w:r>
        <w:rPr>
          <w:rFonts w:ascii="宋体" w:hAnsi="宋体" w:eastAsia="宋体"/>
          <w:color w:val="000000"/>
          <w:sz w:val="24"/>
          <w:szCs w:val="24"/>
          <w:highlight w:val="none"/>
        </w:rPr>
        <w:t>财库〔</w:t>
      </w:r>
      <w:bookmarkEnd w:id="14"/>
      <w:r>
        <w:rPr>
          <w:rFonts w:ascii="宋体" w:hAnsi="宋体" w:eastAsia="宋体"/>
          <w:color w:val="000000"/>
          <w:sz w:val="24"/>
          <w:szCs w:val="24"/>
          <w:highlight w:val="none"/>
        </w:rPr>
        <w:t>2017〕141号</w:t>
      </w:r>
    </w:p>
    <w:p w14:paraId="5E0059A4">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bookmarkStart w:id="15" w:name="toDeptId"/>
      <w:r>
        <w:rPr>
          <w:rFonts w:ascii="宋体" w:hAnsi="宋体" w:eastAsia="宋体"/>
          <w:color w:val="000000"/>
          <w:sz w:val="24"/>
          <w:szCs w:val="24"/>
          <w:highlight w:val="none"/>
          <w:shd w:val="clear" w:color="FFFFFF"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5"/>
      <w:r>
        <w:rPr>
          <w:rFonts w:ascii="宋体" w:hAnsi="宋体" w:eastAsia="宋体"/>
          <w:color w:val="000000"/>
          <w:sz w:val="24"/>
          <w:szCs w:val="24"/>
          <w:highlight w:val="none"/>
          <w:shd w:val="clear" w:color="FFFFFF" w:fill="FFFFFF"/>
        </w:rPr>
        <w:t>：</w:t>
      </w:r>
    </w:p>
    <w:p w14:paraId="72038790">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为了发挥政府采购促进残疾人就业的作用，进一步保障残疾人权益，依照《政府采购法》、《残疾人保障法》等法律法规及相关规定，现就促进残疾人就业政府采购政策通知如下：</w:t>
      </w:r>
    </w:p>
    <w:p w14:paraId="28F96578">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一、享受政府采购支持政策的残疾人福利性单位应当同时满足以下条件：</w:t>
      </w:r>
    </w:p>
    <w:p w14:paraId="4BA61298">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(一)安置的残疾人占本单位在职职工人数的比例不低于25%(含25%)，并且安置的残疾人人数不少于10人(含10人)；</w:t>
      </w:r>
    </w:p>
    <w:p w14:paraId="3616CDF7">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(二)依法与安置的每位残疾人签订了一年以上(含一年)的劳动合同或服务协议；</w:t>
      </w:r>
    </w:p>
    <w:p w14:paraId="0392ABDA">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(三)为安置的每位残疾人按月足额缴纳了基本养老保险、基本医疗保险、失业保险、工伤保险和生育保险等社会保险费；</w:t>
      </w:r>
    </w:p>
    <w:p w14:paraId="0D1C0750">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(四)通过银行等金融机构向安置的每位残疾人，按月支付了不低于单位所在区县适用的经省级人民政府批准的月最低工资标准的工资；</w:t>
      </w:r>
    </w:p>
    <w:p w14:paraId="2A2F54B5">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(五)提供本单位制造的货物、承担的工程或者服务(以下简称产品)，或者提供其他残疾人福利性单位制造的货物(不包括使用非残疾人福利性单位注册商标的货物)。</w:t>
      </w:r>
    </w:p>
    <w:p w14:paraId="0B5267AA">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8AC1EE">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BFD8B1C">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中标、</w:t>
      </w:r>
      <w:r>
        <w:rPr>
          <w:rFonts w:ascii="宋体" w:hAnsi="宋体" w:eastAsia="宋体"/>
          <w:color w:val="000000"/>
          <w:sz w:val="24"/>
          <w:szCs w:val="24"/>
          <w:highlight w:val="none"/>
          <w:shd w:val="clear" w:color="FFFFFF" w:fill="FFFFFF"/>
          <w:lang w:eastAsia="zh-CN"/>
        </w:rPr>
        <w:t>中标供应商</w:t>
      </w:r>
      <w:r>
        <w:rPr>
          <w:rFonts w:ascii="宋体" w:hAnsi="宋体" w:eastAsia="宋体"/>
          <w:color w:val="000000"/>
          <w:sz w:val="24"/>
          <w:szCs w:val="24"/>
          <w:highlight w:val="none"/>
          <w:shd w:val="clear" w:color="FFFFFF" w:fill="FFFFFF"/>
        </w:rPr>
        <w:t>为残疾人福利性单位的，采购人或者其委托的采购代理机构应当随中标、</w:t>
      </w:r>
      <w:r>
        <w:rPr>
          <w:rFonts w:ascii="宋体" w:hAnsi="宋体" w:eastAsia="宋体"/>
          <w:color w:val="000000"/>
          <w:sz w:val="24"/>
          <w:szCs w:val="24"/>
          <w:highlight w:val="none"/>
          <w:shd w:val="clear" w:color="FFFFFF" w:fill="FFFFFF"/>
          <w:lang w:eastAsia="zh-CN"/>
        </w:rPr>
        <w:t>中标</w:t>
      </w:r>
      <w:r>
        <w:rPr>
          <w:rFonts w:ascii="宋体" w:hAnsi="宋体" w:eastAsia="宋体"/>
          <w:color w:val="000000"/>
          <w:sz w:val="24"/>
          <w:szCs w:val="24"/>
          <w:highlight w:val="none"/>
          <w:shd w:val="clear" w:color="FFFFFF" w:fill="FFFFFF"/>
        </w:rPr>
        <w:t>结果同时公告其《残疾人福利性单位声明函》，接受社会监督。</w:t>
      </w:r>
    </w:p>
    <w:p w14:paraId="70CAB3EA">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供应商提供的《残疾人福利性单位声明函》与事实不符的，依照《政府采购法》第七十七条第一款的规定追究法律责任。</w:t>
      </w:r>
    </w:p>
    <w:p w14:paraId="58983197">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C4C6DFB">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四、采购人采购公开招标数额标准以上的货物或者服务，因落实促进残疾人就业政策的需要，依法履行有关报批程序后，可采用公开招标以外的采购方式。</w:t>
      </w:r>
    </w:p>
    <w:p w14:paraId="037C65DE">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920B8BD">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7429FEA">
      <w:pPr>
        <w:pStyle w:val="104"/>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七、本通知自2017年10月1日起执行。</w:t>
      </w:r>
    </w:p>
    <w:p w14:paraId="7EC6126D">
      <w:pPr>
        <w:pStyle w:val="104"/>
        <w:pageBreakBefore w:val="0"/>
        <w:widowControl/>
        <w:wordWrap w:val="0"/>
        <w:snapToGrid/>
        <w:spacing w:line="360"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财政部民政部中国残疾人联合会</w:t>
      </w:r>
    </w:p>
    <w:p w14:paraId="30D444CF">
      <w:pPr>
        <w:pStyle w:val="104"/>
        <w:pageBreakBefore w:val="0"/>
        <w:wordWrap w:val="0"/>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rPr>
        <w:br w:type="page"/>
      </w:r>
      <w:bookmarkStart w:id="16" w:name="OLE_LINK13"/>
      <w:bookmarkStart w:id="17" w:name="OLE_LINK14"/>
      <w:r>
        <w:rPr>
          <w:rFonts w:ascii="宋体" w:hAnsi="宋体" w:eastAsia="宋体"/>
          <w:b/>
          <w:color w:val="000000"/>
          <w:sz w:val="24"/>
          <w:szCs w:val="24"/>
          <w:highlight w:val="none"/>
        </w:rPr>
        <w:t>残疾人福利性单位声明函</w:t>
      </w:r>
    </w:p>
    <w:bookmarkEnd w:id="16"/>
    <w:bookmarkEnd w:id="17"/>
    <w:p w14:paraId="2349E27C">
      <w:pPr>
        <w:pStyle w:val="104"/>
        <w:pageBreakBefore w:val="0"/>
        <w:wordWrap w:val="0"/>
        <w:snapToGrid/>
        <w:spacing w:line="360" w:lineRule="auto"/>
        <w:rPr>
          <w:rFonts w:ascii="宋体" w:hAnsi="宋体" w:eastAsia="宋体"/>
          <w:b/>
          <w:color w:val="000000"/>
          <w:spacing w:val="6"/>
          <w:sz w:val="24"/>
          <w:szCs w:val="24"/>
          <w:highlight w:val="none"/>
        </w:rPr>
      </w:pPr>
    </w:p>
    <w:p w14:paraId="7836F4D6">
      <w:pPr>
        <w:pStyle w:val="104"/>
        <w:pageBreakBefore w:val="0"/>
        <w:wordWrap w:val="0"/>
        <w:snapToGrid/>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EB3804">
      <w:pPr>
        <w:pStyle w:val="104"/>
        <w:pageBreakBefore w:val="0"/>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本单位对上述声明的真实性负责。如有虚假，将依法承担相应责任。</w:t>
      </w:r>
    </w:p>
    <w:p w14:paraId="29B83DA3">
      <w:pPr>
        <w:pStyle w:val="104"/>
        <w:pageBreakBefore w:val="0"/>
        <w:wordWrap w:val="0"/>
        <w:snapToGrid/>
        <w:spacing w:line="360" w:lineRule="auto"/>
        <w:ind w:firstLine="504" w:firstLineChars="200"/>
        <w:rPr>
          <w:rFonts w:ascii="宋体" w:hAnsi="宋体" w:eastAsia="宋体"/>
          <w:color w:val="000000"/>
          <w:spacing w:val="6"/>
          <w:sz w:val="24"/>
          <w:szCs w:val="24"/>
          <w:highlight w:val="none"/>
        </w:rPr>
      </w:pPr>
    </w:p>
    <w:p w14:paraId="1DA34519">
      <w:pPr>
        <w:pStyle w:val="104"/>
        <w:pageBreakBefore w:val="0"/>
        <w:wordWrap w:val="0"/>
        <w:snapToGrid/>
        <w:spacing w:line="360" w:lineRule="auto"/>
        <w:ind w:firstLine="504" w:firstLineChars="200"/>
        <w:rPr>
          <w:rFonts w:ascii="宋体" w:hAnsi="宋体" w:eastAsia="宋体"/>
          <w:color w:val="000000"/>
          <w:spacing w:val="6"/>
          <w:sz w:val="24"/>
          <w:szCs w:val="24"/>
          <w:highlight w:val="none"/>
        </w:rPr>
      </w:pPr>
    </w:p>
    <w:p w14:paraId="00B168AE">
      <w:pPr>
        <w:pStyle w:val="104"/>
        <w:pageBreakBefore w:val="0"/>
        <w:wordWrap w:val="0"/>
        <w:snapToGrid/>
        <w:spacing w:line="360" w:lineRule="auto"/>
        <w:ind w:firstLine="405"/>
        <w:rPr>
          <w:rFonts w:ascii="宋体" w:hAnsi="宋体" w:eastAsia="宋体"/>
          <w:color w:val="000000"/>
          <w:sz w:val="24"/>
          <w:szCs w:val="24"/>
          <w:highlight w:val="none"/>
        </w:rPr>
      </w:pPr>
    </w:p>
    <w:p w14:paraId="584863BB">
      <w:pPr>
        <w:pStyle w:val="104"/>
        <w:pageBreakBefore w:val="0"/>
        <w:wordWrap w:val="0"/>
        <w:snapToGrid/>
        <w:spacing w:line="360" w:lineRule="auto"/>
        <w:ind w:firstLine="405"/>
        <w:rPr>
          <w:rFonts w:ascii="宋体" w:hAnsi="宋体" w:eastAsia="宋体"/>
          <w:color w:val="000000"/>
          <w:sz w:val="24"/>
          <w:szCs w:val="24"/>
          <w:highlight w:val="none"/>
        </w:rPr>
      </w:pPr>
    </w:p>
    <w:p w14:paraId="1A8DCD0F">
      <w:pPr>
        <w:pStyle w:val="104"/>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单位名称(盖章)：</w:t>
      </w:r>
    </w:p>
    <w:p w14:paraId="6F3AEF29">
      <w:pPr>
        <w:pStyle w:val="104"/>
        <w:pageBreakBefore w:val="0"/>
        <w:wordWrap w:val="0"/>
        <w:snapToGrid/>
        <w:spacing w:line="360" w:lineRule="auto"/>
        <w:ind w:firstLine="405"/>
        <w:rPr>
          <w:rFonts w:ascii="宋体" w:hAnsi="宋体" w:eastAsia="宋体"/>
          <w:color w:val="000000"/>
          <w:sz w:val="24"/>
          <w:szCs w:val="24"/>
          <w:highlight w:val="none"/>
        </w:rPr>
      </w:pPr>
    </w:p>
    <w:p w14:paraId="331EBEF4">
      <w:pPr>
        <w:pStyle w:val="104"/>
        <w:pageBreakBefore w:val="0"/>
        <w:wordWrap w:val="0"/>
        <w:snapToGrid/>
        <w:spacing w:line="360" w:lineRule="auto"/>
        <w:ind w:firstLine="405"/>
        <w:rPr>
          <w:rFonts w:ascii="宋体" w:hAnsi="宋体" w:eastAsia="宋体"/>
          <w:color w:val="000000"/>
          <w:sz w:val="24"/>
          <w:szCs w:val="24"/>
          <w:highlight w:val="none"/>
        </w:rPr>
      </w:pPr>
    </w:p>
    <w:p w14:paraId="2AC78EAF">
      <w:pPr>
        <w:pStyle w:val="104"/>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日期：</w:t>
      </w:r>
    </w:p>
    <w:p w14:paraId="213B87CC">
      <w:pPr>
        <w:pStyle w:val="104"/>
        <w:pageBreakBefore w:val="0"/>
        <w:wordWrap w:val="0"/>
        <w:snapToGrid/>
        <w:spacing w:line="360" w:lineRule="auto"/>
        <w:ind w:firstLine="405"/>
        <w:jc w:val="center"/>
        <w:rPr>
          <w:rFonts w:ascii="宋体" w:hAnsi="宋体" w:eastAsia="宋体"/>
          <w:b/>
          <w:color w:val="000000"/>
          <w:sz w:val="22"/>
          <w:szCs w:val="22"/>
          <w:highlight w:val="none"/>
        </w:rPr>
      </w:pPr>
      <w:r>
        <w:rPr>
          <w:rFonts w:ascii="宋体" w:hAnsi="宋体" w:eastAsia="宋体"/>
          <w:color w:val="000000"/>
          <w:sz w:val="24"/>
          <w:szCs w:val="24"/>
          <w:highlight w:val="none"/>
        </w:rPr>
        <w:br w:type="page"/>
      </w:r>
      <w:r>
        <w:rPr>
          <w:rFonts w:ascii="宋体" w:hAnsi="宋体" w:eastAsia="宋体"/>
          <w:b/>
          <w:color w:val="000000"/>
          <w:sz w:val="22"/>
          <w:szCs w:val="22"/>
          <w:highlight w:val="none"/>
        </w:rPr>
        <w:t>财政部司法部关于政府采购支持监狱企业发展有关问题的通知</w:t>
      </w:r>
    </w:p>
    <w:p w14:paraId="59478775">
      <w:pPr>
        <w:pStyle w:val="104"/>
        <w:pageBreakBefore w:val="0"/>
        <w:wordWrap w:val="0"/>
        <w:snapToGrid/>
        <w:spacing w:line="360" w:lineRule="auto"/>
        <w:ind w:firstLine="405"/>
        <w:jc w:val="center"/>
        <w:rPr>
          <w:rFonts w:ascii="宋体" w:hAnsi="宋体" w:eastAsia="宋体"/>
          <w:color w:val="000000"/>
          <w:sz w:val="22"/>
          <w:szCs w:val="22"/>
          <w:highlight w:val="none"/>
        </w:rPr>
      </w:pPr>
      <w:r>
        <w:rPr>
          <w:rFonts w:ascii="宋体" w:hAnsi="宋体" w:eastAsia="宋体"/>
          <w:b/>
          <w:color w:val="000000"/>
          <w:sz w:val="22"/>
          <w:szCs w:val="22"/>
          <w:highlight w:val="none"/>
        </w:rPr>
        <w:t>--</w:t>
      </w:r>
      <w:r>
        <w:rPr>
          <w:rFonts w:ascii="宋体" w:hAnsi="宋体" w:eastAsia="宋体"/>
          <w:color w:val="000000"/>
          <w:sz w:val="22"/>
          <w:szCs w:val="22"/>
          <w:highlight w:val="none"/>
        </w:rPr>
        <w:t>财库〔2014〕68号</w:t>
      </w:r>
    </w:p>
    <w:p w14:paraId="16CB0B80">
      <w:pPr>
        <w:pStyle w:val="104"/>
        <w:pageBreakBefore w:val="0"/>
        <w:wordWrap w:val="0"/>
        <w:snapToGrid/>
        <w:spacing w:line="360" w:lineRule="auto"/>
        <w:rPr>
          <w:rFonts w:ascii="宋体" w:hAnsi="宋体" w:eastAsia="宋体"/>
          <w:color w:val="000000"/>
          <w:sz w:val="22"/>
          <w:szCs w:val="22"/>
          <w:highlight w:val="none"/>
        </w:rPr>
      </w:pPr>
      <w:r>
        <w:rPr>
          <w:rFonts w:ascii="宋体" w:hAnsi="宋体" w:eastAsia="宋体"/>
          <w:color w:val="000000"/>
          <w:sz w:val="22"/>
          <w:szCs w:val="22"/>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721D118">
      <w:pPr>
        <w:pStyle w:val="104"/>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技术部分的通知》(国发[2003]7号)文件精神，发挥政府采购支持监狱企业发展的作用，现就有关事项通知如下：</w:t>
      </w:r>
    </w:p>
    <w:p w14:paraId="77450502">
      <w:pPr>
        <w:pStyle w:val="104"/>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F374DBA">
      <w:pPr>
        <w:pStyle w:val="104"/>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2F59FF80">
      <w:pPr>
        <w:pStyle w:val="104"/>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27F60B3">
      <w:pPr>
        <w:pStyle w:val="104"/>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四、各地区可以结合本地区实际，对监狱企业生产的办公用品、家具用具、车辆维修和提供的保养服务、消防设备等，提出预留份额等政府采购支持措施，加大对监狱企业产品的采购力度。</w:t>
      </w:r>
    </w:p>
    <w:p w14:paraId="78955B55">
      <w:pPr>
        <w:pStyle w:val="104"/>
        <w:snapToGrid/>
        <w:spacing w:line="360" w:lineRule="auto"/>
        <w:ind w:firstLine="440" w:firstLineChars="200"/>
        <w:jc w:val="right"/>
        <w:rPr>
          <w:rFonts w:ascii="宋体" w:hAnsi="宋体" w:eastAsia="宋体"/>
          <w:color w:val="000000"/>
          <w:sz w:val="22"/>
          <w:szCs w:val="22"/>
          <w:highlight w:val="none"/>
        </w:rPr>
      </w:pPr>
      <w:r>
        <w:rPr>
          <w:rFonts w:ascii="宋体" w:hAnsi="宋体" w:eastAsia="宋体"/>
          <w:color w:val="000000"/>
          <w:sz w:val="22"/>
          <w:szCs w:val="22"/>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                                     中华人民共和国财政部中华人民共和国司法部</w:t>
      </w:r>
    </w:p>
    <w:p w14:paraId="2446E535">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Fonts w:ascii="宋体" w:hAnsi="宋体" w:eastAsia="宋体"/>
          <w:color w:val="000000"/>
          <w:sz w:val="22"/>
          <w:szCs w:val="22"/>
          <w:highlight w:val="none"/>
        </w:rPr>
        <w:br w:type="page"/>
      </w:r>
      <w:r>
        <w:rPr>
          <w:rStyle w:val="106"/>
          <w:rFonts w:ascii="宋体" w:hAnsi="宋体" w:eastAsia="宋体"/>
          <w:i w:val="0"/>
          <w:iCs w:val="0"/>
          <w:caps w:val="0"/>
          <w:color w:val="333333"/>
          <w:spacing w:val="0"/>
          <w:sz w:val="36"/>
          <w:szCs w:val="36"/>
          <w:shd w:val="clear" w:color="FFFFFF" w:fill="FFFFFF"/>
        </w:rPr>
        <w:t>国务院办公厅关于在政府采购中</w:t>
      </w:r>
    </w:p>
    <w:p w14:paraId="1FF39369">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Style w:val="106"/>
          <w:rFonts w:ascii="宋体" w:hAnsi="宋体" w:eastAsia="宋体"/>
          <w:i w:val="0"/>
          <w:iCs w:val="0"/>
          <w:caps w:val="0"/>
          <w:color w:val="333333"/>
          <w:spacing w:val="0"/>
          <w:sz w:val="36"/>
          <w:szCs w:val="36"/>
          <w:shd w:val="clear" w:color="FFFFFF" w:fill="FFFFFF"/>
        </w:rPr>
        <w:t>实施本国产品标准及相关政策的通知</w:t>
      </w:r>
    </w:p>
    <w:p w14:paraId="050FE24D">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718CE68">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国办发〔2025〕34号  </w:t>
      </w:r>
    </w:p>
    <w:p w14:paraId="572F24AC">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各省、自治区、直辖市人民政府，国务院各部委、各直属机构：</w:t>
      </w:r>
    </w:p>
    <w:p w14:paraId="0CAAD9B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A1E4901">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6"/>
          <w:rFonts w:ascii="宋体" w:hAnsi="宋体" w:eastAsia="宋体"/>
          <w:i w:val="0"/>
          <w:iCs w:val="0"/>
          <w:caps w:val="0"/>
          <w:color w:val="333333"/>
          <w:spacing w:val="0"/>
          <w:sz w:val="24"/>
          <w:szCs w:val="24"/>
          <w:shd w:val="clear" w:color="FFFFFF" w:fill="FFFFFF"/>
        </w:rPr>
        <w:t>一、本国产品标准</w:t>
      </w:r>
    </w:p>
    <w:p w14:paraId="7BD49C15">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本国产品应当符合以下条件：</w:t>
      </w:r>
    </w:p>
    <w:p w14:paraId="7E281B8C">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（一）在中国境内生产</w:t>
      </w:r>
    </w:p>
    <w:p w14:paraId="46F1CCF8">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产品应当在中国境内生产，即在中华人民共和国关境内实现从原材料、组件到产品的属性改变。</w:t>
      </w:r>
    </w:p>
    <w:p w14:paraId="7D547F99">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属性改变是指经过制造、加工或者组装等工序，产生完全不同于原材料、组件的新产品，并具有新的名称和特征（用途）。属性改变不包括以下细微操作：</w:t>
      </w:r>
    </w:p>
    <w:p w14:paraId="75F268BD">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1.为确保产品在运输或者储存期间保持某种状态而进行的操作；</w:t>
      </w:r>
    </w:p>
    <w:p w14:paraId="1CDD4255">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2.为产品运输或者销售进行的包装或者展示；</w:t>
      </w:r>
    </w:p>
    <w:p w14:paraId="4C07103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3.在产品或者其包装上粘贴或者印刷品牌、标志、标识以及其他用于区别的标记；</w:t>
      </w:r>
    </w:p>
    <w:p w14:paraId="4D77D883">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4.简单的上漆、磨光和分装；</w:t>
      </w:r>
    </w:p>
    <w:p w14:paraId="47E83E18">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5.其他不属于属性改变的情形。</w:t>
      </w:r>
    </w:p>
    <w:p w14:paraId="1B9B853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（二）在中国境内生产的组件成本占比达到规定比例</w:t>
      </w:r>
    </w:p>
    <w:p w14:paraId="1327AED9">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产品在中国境内生产的组件成本占比应当达到规定比例，计算公式为：</w:t>
      </w:r>
    </w:p>
    <w:p w14:paraId="17E48990">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drawing>
          <wp:inline distT="0" distB="0" distL="0" distR="0">
            <wp:extent cx="2733675" cy="389890"/>
            <wp:effectExtent l="0" t="0" r="9525" b="1016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8"/>
                    <a:stretch>
                      <a:fillRect/>
                    </a:stretch>
                  </pic:blipFill>
                  <pic:spPr>
                    <a:xfrm>
                      <a:off x="0" y="0"/>
                      <a:ext cx="2733675" cy="390280"/>
                    </a:xfrm>
                    <a:prstGeom prst="rect">
                      <a:avLst/>
                    </a:prstGeom>
                    <a:noFill/>
                    <a:ln>
                      <a:noFill/>
                    </a:ln>
                  </pic:spPr>
                </pic:pic>
              </a:graphicData>
            </a:graphic>
          </wp:inline>
        </w:drawing>
      </w:r>
    </w:p>
    <w:p w14:paraId="6324DC2A">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0AC8A75">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（三）特定产品的关键组件、关键工序符合相关要求</w:t>
      </w:r>
    </w:p>
    <w:p w14:paraId="254E14AF">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对特定产品，在符合本通知第一条第（一）项和第（二）项条件的基础上，应当符合财政部会同有关行业主管部门确定的其关键组件、关键工序在中国境内生产、完成等要求。</w:t>
      </w:r>
    </w:p>
    <w:p w14:paraId="62E15068">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88E74F0">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6"/>
          <w:rFonts w:ascii="宋体" w:hAnsi="宋体" w:eastAsia="宋体"/>
          <w:i w:val="0"/>
          <w:iCs w:val="0"/>
          <w:caps w:val="0"/>
          <w:color w:val="333333"/>
          <w:spacing w:val="0"/>
          <w:sz w:val="24"/>
          <w:szCs w:val="24"/>
          <w:shd w:val="clear" w:color="FFFFFF" w:fill="FFFFFF"/>
        </w:rPr>
        <w:t>二、本国产品标准的适用范围</w:t>
      </w:r>
    </w:p>
    <w:p w14:paraId="149EB3C1">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925290">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6"/>
          <w:rFonts w:ascii="宋体" w:hAnsi="宋体" w:eastAsia="宋体"/>
          <w:i w:val="0"/>
          <w:iCs w:val="0"/>
          <w:caps w:val="0"/>
          <w:color w:val="333333"/>
          <w:spacing w:val="0"/>
          <w:sz w:val="24"/>
          <w:szCs w:val="24"/>
          <w:shd w:val="clear" w:color="FFFFFF" w:fill="FFFFFF"/>
        </w:rPr>
        <w:t>三、对本国产品的支持政策</w:t>
      </w:r>
    </w:p>
    <w:p w14:paraId="5359512B">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政府采购活动中既有本国产品又有非本国产品参与竞争的，依法对本国产品给予价格评审优惠，对本国产品的报价给予20%的价格扣除，用扣除后的价格参与评审。</w:t>
      </w:r>
    </w:p>
    <w:p w14:paraId="1902AFF5">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F35DF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6"/>
          <w:rFonts w:ascii="宋体" w:hAnsi="宋体" w:eastAsia="宋体"/>
          <w:i w:val="0"/>
          <w:iCs w:val="0"/>
          <w:caps w:val="0"/>
          <w:color w:val="333333"/>
          <w:spacing w:val="0"/>
          <w:sz w:val="24"/>
          <w:szCs w:val="24"/>
          <w:shd w:val="clear" w:color="FFFFFF" w:fill="FFFFFF"/>
        </w:rPr>
        <w:t>四、政策执行要求</w:t>
      </w:r>
    </w:p>
    <w:p w14:paraId="27EE104F">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（一）产品在中国境内生产的组件成本核算规则。产品在中国境内生产的组件成本，按照《中国境内生产的组件成本核算基本规则》（见附件1）计算。</w:t>
      </w:r>
    </w:p>
    <w:p w14:paraId="6DE11109">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926C7D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采购人、采购代理机构应当随中标、成交结果同时公告中标、成交供应商提供的《声明函》或有关证明文件。</w:t>
      </w:r>
    </w:p>
    <w:p w14:paraId="4279F376">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F42A3F">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（四）中华人民共和国缔结或者共同参加的国际条约、协定对政府采购中本国产品政策另有规定的，按照有关条约、协定执行。</w:t>
      </w:r>
    </w:p>
    <w:p w14:paraId="2FFDBA4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6"/>
          <w:rFonts w:ascii="宋体" w:hAnsi="宋体" w:eastAsia="宋体"/>
          <w:i w:val="0"/>
          <w:iCs w:val="0"/>
          <w:caps w:val="0"/>
          <w:color w:val="333333"/>
          <w:spacing w:val="0"/>
          <w:sz w:val="24"/>
          <w:szCs w:val="24"/>
          <w:shd w:val="clear" w:color="FFFFFF" w:fill="FFFFFF"/>
        </w:rPr>
        <w:t>五、争议处理</w:t>
      </w:r>
    </w:p>
    <w:p w14:paraId="500163E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BBF976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（一）政府采购投诉处理、监督检查中，对产品或组件是否在中国境内生产存在争议的，按照以下原则处理：</w:t>
      </w:r>
    </w:p>
    <w:p w14:paraId="446ABF47">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9346A1B">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0457859">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87978EE">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481FEFF">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E6231BB">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本通知自2026年1月1日起施行。</w:t>
      </w:r>
    </w:p>
    <w:p w14:paraId="4DD12C7B">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附件：1.中国境内生产的组件成本核算基本规则</w:t>
      </w:r>
    </w:p>
    <w:p w14:paraId="6F63A8BF">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　　　2.关于符合本国产品标准的声明函</w:t>
      </w:r>
    </w:p>
    <w:p w14:paraId="0A0E3C26">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国务院办公厅         </w:t>
      </w:r>
    </w:p>
    <w:p w14:paraId="45244E55">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2025年9月28日    </w:t>
      </w:r>
    </w:p>
    <w:p w14:paraId="01A97771">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468BFFA2">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031329C5">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6"/>
          <w:rFonts w:ascii="宋体" w:hAnsi="宋体" w:eastAsia="宋体"/>
          <w:i w:val="0"/>
          <w:iCs w:val="0"/>
          <w:caps w:val="0"/>
          <w:color w:val="333333"/>
          <w:spacing w:val="0"/>
          <w:sz w:val="24"/>
          <w:szCs w:val="24"/>
          <w:shd w:val="clear" w:color="FFFFFF" w:fill="FFFFFF"/>
        </w:rPr>
        <w:t>附件1</w:t>
      </w:r>
    </w:p>
    <w:p w14:paraId="172D8EBA">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2B10F05B">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6"/>
          <w:rFonts w:ascii="宋体" w:hAnsi="宋体" w:eastAsia="宋体"/>
          <w:i w:val="0"/>
          <w:iCs w:val="0"/>
          <w:caps w:val="0"/>
          <w:color w:val="333333"/>
          <w:spacing w:val="0"/>
          <w:sz w:val="24"/>
          <w:szCs w:val="24"/>
          <w:shd w:val="clear" w:color="FFFFFF" w:fill="FFFFFF"/>
        </w:rPr>
        <w:t>中国境内生产的组件成本核算基本规则</w:t>
      </w:r>
    </w:p>
    <w:p w14:paraId="26F33087">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4A20CE8">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92D974D">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一、产品的一级组件是指直接组成产品的组件。产品的二级组件是指直接组成产品一级组件的组件。一级组件不可分解的，视同二级组件。</w:t>
      </w:r>
    </w:p>
    <w:p w14:paraId="63F12997">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二、二级组件在中国境内生产的，其全部成本计入中国境内生产的组件成本；二级组件不在中国境内生产的，其成本不计入中国境内生产的组件成本。</w:t>
      </w:r>
    </w:p>
    <w:p w14:paraId="10FF729A">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三、产品总成本和组件成本以相关会计核算数据、采购合同、进货记录等为基础进行计算。</w:t>
      </w:r>
    </w:p>
    <w:p w14:paraId="4DD01C3B">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四、需要对成本核算规则予以进一步明确的其他有关事项，由财政部会同有关部门另行规定。</w:t>
      </w:r>
    </w:p>
    <w:p w14:paraId="0F705980">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9A9A911">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1611BCA0">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6"/>
          <w:rFonts w:ascii="宋体" w:hAnsi="宋体" w:eastAsia="宋体"/>
          <w:i w:val="0"/>
          <w:iCs w:val="0"/>
          <w:caps w:val="0"/>
          <w:color w:val="333333"/>
          <w:spacing w:val="0"/>
          <w:sz w:val="24"/>
          <w:szCs w:val="24"/>
          <w:shd w:val="clear" w:color="FFFFFF" w:fill="FFFFFF"/>
        </w:rPr>
        <w:br w:type="page"/>
      </w:r>
      <w:r>
        <w:rPr>
          <w:rStyle w:val="106"/>
          <w:rFonts w:ascii="宋体" w:hAnsi="宋体" w:eastAsia="宋体"/>
          <w:i w:val="0"/>
          <w:iCs w:val="0"/>
          <w:caps w:val="0"/>
          <w:color w:val="333333"/>
          <w:spacing w:val="0"/>
          <w:sz w:val="24"/>
          <w:szCs w:val="24"/>
          <w:shd w:val="clear" w:color="FFFFFF" w:fill="FFFFFF"/>
        </w:rPr>
        <w:t>附件2</w:t>
      </w:r>
    </w:p>
    <w:p w14:paraId="725BAEA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6"/>
          <w:rFonts w:ascii="宋体" w:hAnsi="宋体" w:eastAsia="宋体"/>
          <w:i w:val="0"/>
          <w:iCs w:val="0"/>
          <w:caps w:val="0"/>
          <w:color w:val="333333"/>
          <w:spacing w:val="0"/>
          <w:sz w:val="24"/>
          <w:szCs w:val="24"/>
          <w:shd w:val="clear" w:color="FFFFFF" w:fill="FFFFFF"/>
        </w:rPr>
        <w:t>关于符合本国产品标准的声明函</w:t>
      </w:r>
    </w:p>
    <w:p w14:paraId="062AA04C">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12A401B6">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本公司（单位）郑重声明，根据《国务院办公厅关于在政府采购中实施本国产品标准及相关政策的通知》（国办发〔2025〕34号）的规定，本公司（单位）提供的以下产品属于本国产品。具体情况如下：</w:t>
      </w:r>
    </w:p>
    <w:p w14:paraId="65419F24">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w:t>
      </w:r>
      <w:r>
        <w:rPr>
          <w:rStyle w:val="108"/>
          <w:rFonts w:ascii="宋体" w:hAnsi="宋体" w:eastAsia="宋体"/>
          <w:i w:val="0"/>
          <w:iCs w:val="0"/>
          <w:caps w:val="0"/>
          <w:color w:val="333333"/>
          <w:spacing w:val="0"/>
          <w:sz w:val="24"/>
          <w:szCs w:val="24"/>
          <w:shd w:val="clear" w:color="FFFFFF" w:fill="FFFFFF"/>
        </w:rPr>
        <w:t>（产品名称1）</w:t>
      </w:r>
      <w:r>
        <w:rPr>
          <w:rStyle w:val="108"/>
          <w:rFonts w:ascii="宋体" w:hAnsi="宋体" w:eastAsia="宋体"/>
          <w:i w:val="0"/>
          <w:iCs w:val="0"/>
          <w:caps w:val="0"/>
          <w:color w:val="333333"/>
          <w:spacing w:val="0"/>
          <w:sz w:val="24"/>
          <w:szCs w:val="24"/>
          <w:shd w:val="clear" w:color="FFFFFF" w:fill="FFFFFF"/>
          <w:vertAlign w:val="superscript"/>
        </w:rPr>
        <w:t>1</w:t>
      </w:r>
      <w:r>
        <w:rPr>
          <w:rFonts w:ascii="宋体" w:hAnsi="宋体" w:eastAsia="宋体"/>
          <w:i w:val="0"/>
          <w:iCs w:val="0"/>
          <w:caps w:val="0"/>
          <w:color w:val="333333"/>
          <w:spacing w:val="0"/>
          <w:sz w:val="24"/>
          <w:szCs w:val="24"/>
          <w:shd w:val="clear" w:color="FFFFFF" w:fill="FFFFFF"/>
        </w:rPr>
        <w:t>，生产厂为</w:t>
      </w:r>
      <w:r>
        <w:rPr>
          <w:rStyle w:val="108"/>
          <w:rFonts w:ascii="宋体" w:hAnsi="宋体" w:eastAsia="宋体"/>
          <w:i w:val="0"/>
          <w:iCs w:val="0"/>
          <w:caps w:val="0"/>
          <w:color w:val="333333"/>
          <w:spacing w:val="0"/>
          <w:sz w:val="24"/>
          <w:szCs w:val="24"/>
          <w:shd w:val="clear" w:color="FFFFFF" w:fill="FFFFFF"/>
        </w:rPr>
        <w:t>（厂名）</w:t>
      </w:r>
      <w:r>
        <w:rPr>
          <w:rStyle w:val="108"/>
          <w:rFonts w:ascii="宋体" w:hAnsi="宋体" w:eastAsia="宋体"/>
          <w:i w:val="0"/>
          <w:iCs w:val="0"/>
          <w:caps w:val="0"/>
          <w:color w:val="333333"/>
          <w:spacing w:val="0"/>
          <w:sz w:val="24"/>
          <w:szCs w:val="24"/>
          <w:shd w:val="clear" w:color="FFFFFF" w:fill="FFFFFF"/>
          <w:vertAlign w:val="superscript"/>
        </w:rPr>
        <w:t>2</w:t>
      </w:r>
      <w:r>
        <w:rPr>
          <w:rFonts w:ascii="宋体" w:hAnsi="宋体" w:eastAsia="宋体"/>
          <w:i w:val="0"/>
          <w:iCs w:val="0"/>
          <w:caps w:val="0"/>
          <w:color w:val="333333"/>
          <w:spacing w:val="0"/>
          <w:sz w:val="24"/>
          <w:szCs w:val="24"/>
          <w:shd w:val="clear" w:color="FFFFFF" w:fill="FFFFFF"/>
        </w:rPr>
        <w:t>，厂址为</w:t>
      </w:r>
      <w:r>
        <w:rPr>
          <w:rStyle w:val="108"/>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08"/>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的中国境内生产的组件成本占比≥</w:t>
      </w:r>
      <w:r>
        <w:rPr>
          <w:rStyle w:val="108"/>
          <w:rFonts w:ascii="宋体" w:hAnsi="宋体" w:eastAsia="宋体"/>
          <w:i w:val="0"/>
          <w:iCs w:val="0"/>
          <w:caps w:val="0"/>
          <w:color w:val="333333"/>
          <w:spacing w:val="0"/>
          <w:sz w:val="24"/>
          <w:szCs w:val="24"/>
          <w:shd w:val="clear" w:color="FFFFFF" w:fill="FFFFFF"/>
        </w:rPr>
        <w:t>（规定比例）</w:t>
      </w:r>
      <w:r>
        <w:rPr>
          <w:rStyle w:val="108"/>
          <w:rFonts w:ascii="宋体" w:hAnsi="宋体" w:eastAsia="宋体"/>
          <w:i w:val="0"/>
          <w:iCs w:val="0"/>
          <w:caps w:val="0"/>
          <w:color w:val="333333"/>
          <w:spacing w:val="0"/>
          <w:sz w:val="24"/>
          <w:szCs w:val="24"/>
          <w:shd w:val="clear" w:color="FFFFFF" w:fill="FFFFFF"/>
          <w:vertAlign w:val="superscript"/>
        </w:rPr>
        <w:t>3</w:t>
      </w:r>
      <w:r>
        <w:rPr>
          <w:rFonts w:ascii="宋体" w:hAnsi="宋体" w:eastAsia="宋体"/>
          <w:i w:val="0"/>
          <w:iCs w:val="0"/>
          <w:caps w:val="0"/>
          <w:color w:val="333333"/>
          <w:spacing w:val="0"/>
          <w:sz w:val="24"/>
          <w:szCs w:val="24"/>
          <w:shd w:val="clear" w:color="FFFFFF" w:fill="FFFFFF"/>
        </w:rPr>
        <w:t>。</w:t>
      </w:r>
      <w:r>
        <w:rPr>
          <w:rStyle w:val="108"/>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08"/>
          <w:rFonts w:ascii="宋体" w:hAnsi="宋体" w:eastAsia="宋体"/>
          <w:i w:val="0"/>
          <w:iCs w:val="0"/>
          <w:caps w:val="0"/>
          <w:color w:val="333333"/>
          <w:spacing w:val="0"/>
          <w:sz w:val="24"/>
          <w:szCs w:val="24"/>
          <w:shd w:val="clear" w:color="FFFFFF" w:fill="FFFFFF"/>
        </w:rPr>
        <w:t>（关键组件）</w:t>
      </w:r>
      <w:r>
        <w:rPr>
          <w:rStyle w:val="108"/>
          <w:rFonts w:ascii="宋体" w:hAnsi="宋体" w:eastAsia="宋体"/>
          <w:i w:val="0"/>
          <w:iCs w:val="0"/>
          <w:caps w:val="0"/>
          <w:color w:val="333333"/>
          <w:spacing w:val="0"/>
          <w:sz w:val="24"/>
          <w:szCs w:val="24"/>
          <w:shd w:val="clear" w:color="FFFFFF" w:fill="FFFFFF"/>
          <w:vertAlign w:val="superscript"/>
        </w:rPr>
        <w:t>4</w:t>
      </w:r>
      <w:r>
        <w:rPr>
          <w:rFonts w:ascii="宋体" w:hAnsi="宋体" w:eastAsia="宋体"/>
          <w:i w:val="0"/>
          <w:iCs w:val="0"/>
          <w:caps w:val="0"/>
          <w:color w:val="333333"/>
          <w:spacing w:val="0"/>
          <w:sz w:val="24"/>
          <w:szCs w:val="24"/>
          <w:shd w:val="clear" w:color="FFFFFF" w:fill="FFFFFF"/>
        </w:rPr>
        <w:t>在中国境内生产。</w:t>
      </w:r>
      <w:r>
        <w:rPr>
          <w:rStyle w:val="108"/>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08"/>
          <w:rFonts w:ascii="宋体" w:hAnsi="宋体" w:eastAsia="宋体"/>
          <w:i w:val="0"/>
          <w:iCs w:val="0"/>
          <w:caps w:val="0"/>
          <w:color w:val="333333"/>
          <w:spacing w:val="0"/>
          <w:sz w:val="24"/>
          <w:szCs w:val="24"/>
          <w:shd w:val="clear" w:color="FFFFFF" w:fill="FFFFFF"/>
        </w:rPr>
        <w:t>（关键工序）</w:t>
      </w:r>
      <w:r>
        <w:rPr>
          <w:rStyle w:val="108"/>
          <w:rFonts w:ascii="宋体" w:hAnsi="宋体" w:eastAsia="宋体"/>
          <w:i w:val="0"/>
          <w:iCs w:val="0"/>
          <w:caps w:val="0"/>
          <w:color w:val="333333"/>
          <w:spacing w:val="0"/>
          <w:sz w:val="24"/>
          <w:szCs w:val="24"/>
          <w:shd w:val="clear" w:color="FFFFFF" w:fill="FFFFFF"/>
          <w:vertAlign w:val="superscript"/>
        </w:rPr>
        <w:t>5</w:t>
      </w:r>
      <w:r>
        <w:rPr>
          <w:rFonts w:ascii="宋体" w:hAnsi="宋体" w:eastAsia="宋体"/>
          <w:i w:val="0"/>
          <w:iCs w:val="0"/>
          <w:caps w:val="0"/>
          <w:color w:val="333333"/>
          <w:spacing w:val="0"/>
          <w:sz w:val="24"/>
          <w:szCs w:val="24"/>
          <w:shd w:val="clear" w:color="FFFFFF" w:fill="FFFFFF"/>
        </w:rPr>
        <w:t>在中国境内完成。</w:t>
      </w:r>
    </w:p>
    <w:p w14:paraId="021CF271">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w:t>
      </w:r>
      <w:r>
        <w:rPr>
          <w:rStyle w:val="108"/>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，生产厂为</w:t>
      </w:r>
      <w:r>
        <w:rPr>
          <w:rStyle w:val="108"/>
          <w:rFonts w:ascii="宋体" w:hAnsi="宋体" w:eastAsia="宋体"/>
          <w:i w:val="0"/>
          <w:iCs w:val="0"/>
          <w:caps w:val="0"/>
          <w:color w:val="333333"/>
          <w:spacing w:val="0"/>
          <w:sz w:val="24"/>
          <w:szCs w:val="24"/>
          <w:shd w:val="clear" w:color="FFFFFF" w:fill="FFFFFF"/>
        </w:rPr>
        <w:t>（厂名）</w:t>
      </w:r>
      <w:r>
        <w:rPr>
          <w:rFonts w:ascii="宋体" w:hAnsi="宋体" w:eastAsia="宋体"/>
          <w:i w:val="0"/>
          <w:iCs w:val="0"/>
          <w:caps w:val="0"/>
          <w:color w:val="333333"/>
          <w:spacing w:val="0"/>
          <w:sz w:val="24"/>
          <w:szCs w:val="24"/>
          <w:shd w:val="clear" w:color="FFFFFF" w:fill="FFFFFF"/>
        </w:rPr>
        <w:t>，厂址为</w:t>
      </w:r>
      <w:r>
        <w:rPr>
          <w:rStyle w:val="108"/>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08"/>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的中国境内生产的组件成本占比≥</w:t>
      </w:r>
      <w:r>
        <w:rPr>
          <w:rStyle w:val="108"/>
          <w:rFonts w:ascii="宋体" w:hAnsi="宋体" w:eastAsia="宋体"/>
          <w:i w:val="0"/>
          <w:iCs w:val="0"/>
          <w:caps w:val="0"/>
          <w:color w:val="333333"/>
          <w:spacing w:val="0"/>
          <w:sz w:val="24"/>
          <w:szCs w:val="24"/>
          <w:shd w:val="clear" w:color="FFFFFF" w:fill="FFFFFF"/>
        </w:rPr>
        <w:t>（规定比例）</w:t>
      </w:r>
      <w:r>
        <w:rPr>
          <w:rFonts w:ascii="宋体" w:hAnsi="宋体" w:eastAsia="宋体"/>
          <w:i w:val="0"/>
          <w:iCs w:val="0"/>
          <w:caps w:val="0"/>
          <w:color w:val="333333"/>
          <w:spacing w:val="0"/>
          <w:sz w:val="24"/>
          <w:szCs w:val="24"/>
          <w:shd w:val="clear" w:color="FFFFFF" w:fill="FFFFFF"/>
        </w:rPr>
        <w:t>。</w:t>
      </w:r>
      <w:r>
        <w:rPr>
          <w:rStyle w:val="108"/>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08"/>
          <w:rFonts w:ascii="宋体" w:hAnsi="宋体" w:eastAsia="宋体"/>
          <w:i w:val="0"/>
          <w:iCs w:val="0"/>
          <w:caps w:val="0"/>
          <w:color w:val="333333"/>
          <w:spacing w:val="0"/>
          <w:sz w:val="24"/>
          <w:szCs w:val="24"/>
          <w:shd w:val="clear" w:color="FFFFFF" w:fill="FFFFFF"/>
        </w:rPr>
        <w:t>（关键组件）</w:t>
      </w:r>
      <w:r>
        <w:rPr>
          <w:rFonts w:ascii="宋体" w:hAnsi="宋体" w:eastAsia="宋体"/>
          <w:i w:val="0"/>
          <w:iCs w:val="0"/>
          <w:caps w:val="0"/>
          <w:color w:val="333333"/>
          <w:spacing w:val="0"/>
          <w:sz w:val="24"/>
          <w:szCs w:val="24"/>
          <w:shd w:val="clear" w:color="FFFFFF" w:fill="FFFFFF"/>
        </w:rPr>
        <w:t>在中国境内生产。</w:t>
      </w:r>
      <w:r>
        <w:rPr>
          <w:rStyle w:val="108"/>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08"/>
          <w:rFonts w:ascii="宋体" w:hAnsi="宋体" w:eastAsia="宋体"/>
          <w:i w:val="0"/>
          <w:iCs w:val="0"/>
          <w:caps w:val="0"/>
          <w:color w:val="333333"/>
          <w:spacing w:val="0"/>
          <w:sz w:val="24"/>
          <w:szCs w:val="24"/>
          <w:shd w:val="clear" w:color="FFFFFF" w:fill="FFFFFF"/>
        </w:rPr>
        <w:t>（关键工序）</w:t>
      </w:r>
      <w:r>
        <w:rPr>
          <w:rFonts w:ascii="宋体" w:hAnsi="宋体" w:eastAsia="宋体"/>
          <w:i w:val="0"/>
          <w:iCs w:val="0"/>
          <w:caps w:val="0"/>
          <w:color w:val="333333"/>
          <w:spacing w:val="0"/>
          <w:sz w:val="24"/>
          <w:szCs w:val="24"/>
          <w:shd w:val="clear" w:color="FFFFFF" w:fill="FFFFFF"/>
        </w:rPr>
        <w:t>在中国境内完成。</w:t>
      </w:r>
    </w:p>
    <w:p w14:paraId="3EC4A88B">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w:t>
      </w:r>
    </w:p>
    <w:p w14:paraId="1A375E4C">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本公司（单位）对上述声明内容的真实性负责。如有虚假，愿承担相应法律责任。</w:t>
      </w:r>
    </w:p>
    <w:p w14:paraId="6D99D19B">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公司（单位）名称（盖章）：      </w:t>
      </w:r>
    </w:p>
    <w:p w14:paraId="3F24575A">
      <w:pPr>
        <w:pStyle w:val="104"/>
        <w:snapToGrid/>
        <w:spacing w:line="360" w:lineRule="auto"/>
        <w:ind w:firstLine="480" w:firstLineChars="200"/>
        <w:jc w:val="right"/>
        <w:rPr>
          <w:rFonts w:ascii="宋体" w:hAnsi="宋体" w:eastAsia="宋体"/>
          <w:color w:val="000000"/>
          <w:sz w:val="22"/>
          <w:szCs w:val="22"/>
          <w:highlight w:val="none"/>
        </w:rPr>
      </w:pPr>
      <w:r>
        <w:rPr>
          <w:rFonts w:ascii="宋体" w:hAnsi="宋体" w:eastAsia="宋体"/>
          <w:i w:val="0"/>
          <w:iCs w:val="0"/>
          <w:caps w:val="0"/>
          <w:color w:val="333333"/>
          <w:spacing w:val="0"/>
          <w:sz w:val="24"/>
          <w:szCs w:val="24"/>
          <w:shd w:val="clear" w:color="FFFFFF" w:fill="FFFFFF"/>
        </w:rPr>
        <w:t>日期：　　　　　年　　月　日</w:t>
      </w:r>
    </w:p>
    <w:p w14:paraId="19C13F45">
      <w:pPr>
        <w:rPr>
          <w:rFonts w:hint="eastAsia"/>
          <w:color w:val="auto"/>
          <w:sz w:val="36"/>
          <w:szCs w:val="36"/>
          <w:lang w:val="zh-CN"/>
        </w:rPr>
      </w:pPr>
      <w:r>
        <w:rPr>
          <w:rFonts w:ascii="宋体" w:hAnsi="宋体" w:eastAsia="宋体"/>
          <w:color w:val="000000"/>
          <w:szCs w:val="32"/>
          <w:highlight w:val="none"/>
          <w:lang w:val="zh-CN"/>
        </w:rPr>
        <w:br w:type="page"/>
      </w:r>
    </w:p>
    <w:p w14:paraId="33B15966">
      <w:pPr>
        <w:pStyle w:val="2"/>
        <w:bidi w:val="0"/>
        <w:jc w:val="center"/>
        <w:rPr>
          <w:rFonts w:hint="eastAsia"/>
          <w:color w:val="auto"/>
          <w:sz w:val="36"/>
          <w:szCs w:val="36"/>
          <w:lang w:val="zh-CN"/>
        </w:rPr>
      </w:pPr>
      <w:bookmarkStart w:id="18" w:name="_Toc8039"/>
      <w:r>
        <w:rPr>
          <w:rFonts w:hint="eastAsia"/>
          <w:color w:val="auto"/>
          <w:sz w:val="36"/>
          <w:szCs w:val="36"/>
          <w:lang w:val="zh-CN"/>
        </w:rPr>
        <w:t>第四章 合同条款</w:t>
      </w:r>
      <w:bookmarkEnd w:id="11"/>
      <w:bookmarkEnd w:id="18"/>
    </w:p>
    <w:p w14:paraId="68F14BCF">
      <w:pPr>
        <w:rPr>
          <w:rFonts w:hint="eastAsia" w:ascii="宋体" w:hAnsi="宋体" w:eastAsia="宋体" w:cs="宋体"/>
          <w:color w:val="auto"/>
          <w:highlight w:val="none"/>
        </w:rPr>
      </w:pPr>
    </w:p>
    <w:p w14:paraId="232FC0FC">
      <w:pPr>
        <w:rPr>
          <w:rFonts w:hint="eastAsia" w:ascii="宋体" w:hAnsi="宋体" w:eastAsia="宋体" w:cs="宋体"/>
          <w:color w:val="auto"/>
          <w:highlight w:val="none"/>
        </w:rPr>
      </w:pPr>
    </w:p>
    <w:p w14:paraId="46DF33EF">
      <w:pPr>
        <w:rPr>
          <w:rFonts w:hint="eastAsia" w:ascii="宋体" w:hAnsi="宋体" w:eastAsia="宋体" w:cs="宋体"/>
          <w:color w:val="auto"/>
          <w:highlight w:val="none"/>
        </w:rPr>
      </w:pPr>
    </w:p>
    <w:p w14:paraId="035B070B">
      <w:pPr>
        <w:rPr>
          <w:rFonts w:hint="eastAsia" w:ascii="宋体" w:hAnsi="宋体" w:eastAsia="宋体" w:cs="宋体"/>
          <w:color w:val="auto"/>
          <w:highlight w:val="none"/>
        </w:rPr>
      </w:pPr>
    </w:p>
    <w:p w14:paraId="56FEB8EB">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注：本章条款仅供参考，具体以甲乙双方在合同内约定条款为准。</w:t>
      </w:r>
    </w:p>
    <w:p w14:paraId="0E5CCE91">
      <w:pPr>
        <w:rPr>
          <w:rFonts w:hint="eastAsia" w:ascii="宋体" w:hAnsi="宋体" w:eastAsia="宋体" w:cs="宋体"/>
          <w:color w:val="auto"/>
          <w:highlight w:val="none"/>
        </w:rPr>
      </w:pPr>
    </w:p>
    <w:p w14:paraId="1B323675">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2A875019">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68D87B8B">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45C16ABE">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6C63984A">
      <w:pPr>
        <w:rPr>
          <w:rFonts w:hint="eastAsia" w:ascii="宋体" w:hAnsi="宋体" w:eastAsia="宋体" w:cs="宋体"/>
          <w:color w:val="auto"/>
          <w:highlight w:val="none"/>
        </w:rPr>
      </w:pPr>
    </w:p>
    <w:p w14:paraId="273FF25B">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4A8AAF29">
      <w:pPr>
        <w:pStyle w:val="9"/>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color w:val="auto"/>
          <w:sz w:val="36"/>
          <w:szCs w:val="36"/>
          <w:highlight w:val="none"/>
          <w:lang w:val="zh-CN"/>
        </w:rPr>
        <w:br w:type="page"/>
      </w: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5D06A3B9">
      <w:pPr>
        <w:pStyle w:val="9"/>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3570E0D1">
      <w:pPr>
        <w:rPr>
          <w:rFonts w:hint="eastAsia" w:ascii="宋体" w:hAnsi="宋体" w:eastAsia="宋体" w:cs="宋体"/>
          <w:b/>
          <w:bCs/>
          <w:color w:val="auto"/>
          <w:spacing w:val="-20"/>
          <w:kern w:val="44"/>
          <w:sz w:val="40"/>
          <w:szCs w:val="40"/>
          <w:highlight w:val="none"/>
        </w:rPr>
      </w:pPr>
    </w:p>
    <w:p w14:paraId="6B05ED85">
      <w:pPr>
        <w:rPr>
          <w:rFonts w:hint="eastAsia" w:ascii="宋体" w:hAnsi="宋体" w:eastAsia="宋体" w:cs="宋体"/>
          <w:b/>
          <w:bCs/>
          <w:color w:val="auto"/>
          <w:spacing w:val="-20"/>
          <w:kern w:val="44"/>
          <w:sz w:val="40"/>
          <w:szCs w:val="40"/>
          <w:highlight w:val="none"/>
        </w:rPr>
      </w:pPr>
    </w:p>
    <w:p w14:paraId="2C9DE50E">
      <w:pPr>
        <w:rPr>
          <w:rFonts w:hint="eastAsia" w:ascii="宋体" w:hAnsi="宋体" w:eastAsia="宋体" w:cs="宋体"/>
          <w:b/>
          <w:bCs/>
          <w:color w:val="auto"/>
          <w:spacing w:val="-20"/>
          <w:kern w:val="44"/>
          <w:sz w:val="40"/>
          <w:szCs w:val="40"/>
          <w:highlight w:val="none"/>
        </w:rPr>
      </w:pPr>
    </w:p>
    <w:p w14:paraId="4ADB269F">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5969360B">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4824A78F">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1477E2E5">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12EFE2CF">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620C96D2">
      <w:pPr>
        <w:rPr>
          <w:rFonts w:hint="eastAsia" w:ascii="宋体" w:hAnsi="宋体" w:eastAsia="宋体" w:cs="宋体"/>
          <w:color w:val="auto"/>
          <w:highlight w:val="none"/>
        </w:rPr>
      </w:pPr>
    </w:p>
    <w:p w14:paraId="70206359">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54569819">
      <w:pPr>
        <w:rPr>
          <w:rFonts w:hint="eastAsia" w:ascii="宋体" w:hAnsi="宋体" w:eastAsia="宋体" w:cs="宋体"/>
          <w:color w:val="auto"/>
          <w:sz w:val="44"/>
          <w:szCs w:val="44"/>
          <w:highlight w:val="none"/>
        </w:rPr>
      </w:pPr>
    </w:p>
    <w:p w14:paraId="1B4C47A9">
      <w:pPr>
        <w:rPr>
          <w:rFonts w:hint="eastAsia" w:ascii="宋体" w:hAnsi="宋体" w:eastAsia="宋体" w:cs="宋体"/>
          <w:color w:val="auto"/>
          <w:sz w:val="44"/>
          <w:szCs w:val="44"/>
          <w:highlight w:val="none"/>
        </w:rPr>
      </w:pPr>
    </w:p>
    <w:p w14:paraId="019CA5F1">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358CDD92">
      <w:pPr>
        <w:ind w:firstLine="640" w:firstLineChars="200"/>
        <w:rPr>
          <w:rFonts w:hint="eastAsia" w:ascii="宋体" w:hAnsi="宋体" w:eastAsia="宋体" w:cs="宋体"/>
          <w:color w:val="auto"/>
          <w:sz w:val="32"/>
          <w:szCs w:val="32"/>
          <w:highlight w:val="none"/>
          <w:lang w:val="en-US" w:eastAsia="zh-CN"/>
        </w:rPr>
      </w:pPr>
    </w:p>
    <w:p w14:paraId="1CFECE22">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77074995">
      <w:pPr>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38BE303E">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644C7109">
      <w:pPr>
        <w:ind w:firstLine="880" w:firstLineChars="200"/>
        <w:jc w:val="both"/>
        <w:rPr>
          <w:rFonts w:hint="eastAsia" w:ascii="宋体" w:hAnsi="宋体" w:eastAsia="宋体" w:cs="宋体"/>
          <w:color w:val="auto"/>
          <w:sz w:val="44"/>
          <w:szCs w:val="44"/>
          <w:highlight w:val="none"/>
        </w:rPr>
        <w:sectPr>
          <w:headerReference r:id="rId12" w:type="default"/>
          <w:footerReference r:id="rId1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277345F">
      <w:pPr>
        <w:pStyle w:val="3"/>
        <w:adjustRightInd w:val="0"/>
        <w:snapToGrid w:val="0"/>
        <w:spacing w:beforeLines="0" w:line="400" w:lineRule="exact"/>
        <w:jc w:val="center"/>
        <w:rPr>
          <w:rFonts w:hint="eastAsia" w:ascii="宋体" w:hAnsi="宋体" w:eastAsia="宋体" w:cs="宋体"/>
          <w:b w:val="0"/>
          <w:bCs w:val="0"/>
          <w:color w:val="auto"/>
          <w:sz w:val="28"/>
          <w:szCs w:val="28"/>
          <w:highlight w:val="none"/>
        </w:rPr>
      </w:pPr>
      <w:bookmarkStart w:id="19" w:name="_Toc22209"/>
      <w:r>
        <w:rPr>
          <w:rFonts w:hint="eastAsia" w:ascii="宋体" w:hAnsi="宋体" w:eastAsia="宋体" w:cs="宋体"/>
          <w:b w:val="0"/>
          <w:bCs w:val="0"/>
          <w:color w:val="auto"/>
          <w:sz w:val="28"/>
          <w:szCs w:val="28"/>
          <w:highlight w:val="none"/>
        </w:rPr>
        <w:t>第一节 政府采购合同协议书</w:t>
      </w:r>
      <w:bookmarkEnd w:id="19"/>
    </w:p>
    <w:p w14:paraId="6B29D741">
      <w:pPr>
        <w:pStyle w:val="3"/>
        <w:adjustRightInd w:val="0"/>
        <w:snapToGrid w:val="0"/>
        <w:spacing w:beforeLines="0" w:line="400" w:lineRule="exact"/>
        <w:jc w:val="center"/>
        <w:rPr>
          <w:rFonts w:hint="eastAsia" w:ascii="宋体" w:hAnsi="宋体" w:eastAsia="宋体" w:cs="宋体"/>
          <w:b w:val="0"/>
          <w:bCs w:val="0"/>
          <w:color w:val="auto"/>
          <w:sz w:val="28"/>
          <w:szCs w:val="28"/>
          <w:highlight w:val="none"/>
        </w:rPr>
      </w:pPr>
    </w:p>
    <w:p w14:paraId="6ACA0800">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文件约定的合同甲方）</w:t>
      </w:r>
    </w:p>
    <w:p w14:paraId="42B123EF">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5FF86AAE">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5AB43996">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38B73755">
      <w:pPr>
        <w:spacing w:beforeLines="0" w:line="400" w:lineRule="exact"/>
        <w:rPr>
          <w:rFonts w:hint="eastAsia" w:ascii="宋体" w:hAnsi="宋体" w:eastAsia="宋体" w:cs="宋体"/>
          <w:color w:val="auto"/>
          <w:highlight w:val="none"/>
          <w:lang w:val="en-US" w:eastAsia="zh-CN"/>
        </w:rPr>
      </w:pPr>
    </w:p>
    <w:p w14:paraId="7D18CB33">
      <w:pPr>
        <w:pStyle w:val="10"/>
        <w:adjustRightInd w:val="0"/>
        <w:snapToGrid w:val="0"/>
        <w:spacing w:before="0" w:beforeLines="0" w:after="0"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依据《中华人民共和国民法典》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《中华人民共和国政府采购法》等有关的法律法规，以及</w:t>
      </w:r>
      <w:r>
        <w:rPr>
          <w:rFonts w:hint="eastAsia" w:ascii="宋体" w:hAnsi="宋体" w:eastAsia="宋体" w:cs="宋体"/>
          <w:i w:val="0"/>
          <w:iCs w:val="0"/>
          <w:color w:val="auto"/>
          <w:szCs w:val="21"/>
          <w:highlight w:val="none"/>
          <w:u w:val="none"/>
          <w:lang w:eastAsia="zh-CN"/>
        </w:rPr>
        <w:t>本采购项目</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文件等</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乙方的《投标（响应）文件》及《中标（成交）通知书》，甲乙双方同意签订本合同。具体情况及要求如下：     </w:t>
      </w:r>
    </w:p>
    <w:p w14:paraId="3A512103">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56303532">
      <w:pPr>
        <w:pStyle w:val="10"/>
        <w:numPr>
          <w:ilvl w:val="0"/>
          <w:numId w:val="6"/>
        </w:numPr>
        <w:adjustRightInd w:val="0"/>
        <w:snapToGrid w:val="0"/>
        <w:spacing w:before="0" w:beforeLines="0" w:after="0" w:line="400" w:lineRule="exact"/>
        <w:ind w:left="0" w:leftChars="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671D99F2">
      <w:pPr>
        <w:pStyle w:val="10"/>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采购项目编号：</w:t>
      </w:r>
      <w:r>
        <w:rPr>
          <w:rFonts w:hint="eastAsia" w:ascii="宋体" w:hAnsi="宋体" w:eastAsia="宋体" w:cs="宋体"/>
          <w:color w:val="auto"/>
          <w:szCs w:val="21"/>
          <w:highlight w:val="none"/>
          <w:u w:val="single"/>
        </w:rPr>
        <w:t xml:space="preserve">                                          </w:t>
      </w:r>
    </w:p>
    <w:p w14:paraId="25711CD7">
      <w:pPr>
        <w:pStyle w:val="10"/>
        <w:adjustRightInd w:val="0"/>
        <w:snapToGrid w:val="0"/>
        <w:spacing w:before="0" w:beforeLines="0" w:after="0"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8C6FF5">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76376D49">
      <w:p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采购标的及数量</w:t>
      </w:r>
      <w:r>
        <w:rPr>
          <w:rFonts w:hint="eastAsia" w:ascii="宋体" w:hAnsi="宋体" w:eastAsia="宋体" w:cs="宋体"/>
          <w:color w:val="auto"/>
          <w:szCs w:val="21"/>
          <w:highlight w:val="none"/>
          <w:lang w:val="en-US" w:eastAsia="zh-CN"/>
        </w:rPr>
        <w:t>（台/套</w:t>
      </w:r>
      <w:r>
        <w:rPr>
          <w:rFonts w:hint="eastAsia" w:ascii="宋体" w:hAnsi="宋体" w:eastAsia="宋体" w:cs="宋体"/>
          <w:color w:val="auto"/>
          <w:szCs w:val="21"/>
          <w:highlight w:val="none"/>
          <w:lang w:val="en" w:eastAsia="zh-CN"/>
        </w:rPr>
        <w:t>/个/架/组等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CF3C525">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p>
    <w:p w14:paraId="6C2E6A49">
      <w:pPr>
        <w:adjustRightInd w:val="0"/>
        <w:snapToGrid w:val="0"/>
        <w:spacing w:before="0" w:beforeLines="0"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采购标的的技术要求、商务要求具体见附件。</w:t>
      </w:r>
    </w:p>
    <w:p w14:paraId="24EB4F88">
      <w:pPr>
        <w:numPr>
          <w:ilvl w:val="0"/>
          <w:numId w:val="0"/>
        </w:numPr>
        <w:adjustRightInd w:val="0"/>
        <w:snapToGrid w:val="0"/>
        <w:spacing w:before="0" w:beforeLines="0" w:line="400" w:lineRule="exact"/>
        <w:ind w:firstLine="945" w:firstLineChars="4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①涉及信息类产品，请填写该产品关键部件的品牌、型号：</w:t>
      </w:r>
    </w:p>
    <w:p w14:paraId="7092779A">
      <w:pPr>
        <w:numPr>
          <w:ilvl w:val="0"/>
          <w:numId w:val="0"/>
        </w:numPr>
        <w:adjustRightInd w:val="0"/>
        <w:snapToGrid w:val="0"/>
        <w:spacing w:before="0" w:beforeLines="0"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4D1A749C">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E001A81">
      <w:pPr>
        <w:pStyle w:val="101"/>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D2EF5CC">
      <w:pPr>
        <w:pStyle w:val="101"/>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6B1C06C2">
      <w:pPr>
        <w:pStyle w:val="101"/>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DE89A63">
      <w:pPr>
        <w:pStyle w:val="101"/>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3E571A8A">
      <w:pPr>
        <w:pStyle w:val="101"/>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eastAsia="zh-CN"/>
        </w:rPr>
        <w:t>（</w:t>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DFB9761">
      <w:pPr>
        <w:pStyle w:val="101"/>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eastAsia="zh-CN"/>
        </w:rPr>
        <w:t>（否</w:t>
      </w:r>
    </w:p>
    <w:p w14:paraId="15C763D5">
      <w:pPr>
        <w:pStyle w:val="101"/>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eastAsia="zh-CN"/>
        </w:rPr>
        <w:t>（</w:t>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lang w:eastAsia="zh-CN"/>
        </w:rPr>
        <w:t>（</w:t>
      </w:r>
      <w:r>
        <w:rPr>
          <w:rFonts w:hint="eastAsia" w:ascii="宋体" w:hAnsi="宋体" w:eastAsia="宋体" w:cs="宋体"/>
          <w:iCs w:val="0"/>
          <w:color w:val="auto"/>
          <w:sz w:val="21"/>
          <w:szCs w:val="21"/>
          <w:highlight w:val="none"/>
          <w:lang w:val="en-US" w:eastAsia="zh-CN"/>
        </w:rPr>
        <w:t>分散采购</w:t>
      </w:r>
    </w:p>
    <w:p w14:paraId="14F4AD81">
      <w:pPr>
        <w:pStyle w:val="101"/>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eastAsia="zh-CN"/>
        </w:rPr>
        <w:t>（竞争性磋商</w:t>
      </w:r>
    </w:p>
    <w:p w14:paraId="098F814E">
      <w:pPr>
        <w:pStyle w:val="101"/>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6D8CBFF0">
      <w:pPr>
        <w:pStyle w:val="101"/>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01A79E6">
      <w:pPr>
        <w:pStyle w:val="101"/>
        <w:numPr>
          <w:ilvl w:val="0"/>
          <w:numId w:val="0"/>
        </w:numPr>
        <w:adjustRightInd w:val="0"/>
        <w:snapToGrid w:val="0"/>
        <w:spacing w:before="0" w:beforeLines="0" w:line="400" w:lineRule="exact"/>
        <w:ind w:firstLine="22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中标（成交）采购标的制造商是否为中小企业：（是      （否</w:t>
      </w:r>
    </w:p>
    <w:p w14:paraId="7DBE0108">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w w:val="100"/>
          <w:szCs w:val="21"/>
          <w:highlight w:val="none"/>
          <w:lang w:val="en-US" w:eastAsia="zh-CN"/>
        </w:rPr>
        <w:t xml:space="preserve">         本合同</w:t>
      </w:r>
      <w:r>
        <w:rPr>
          <w:rFonts w:hint="eastAsia" w:ascii="宋体" w:hAnsi="宋体" w:eastAsia="宋体" w:cs="宋体"/>
          <w:color w:val="auto"/>
          <w:w w:val="100"/>
          <w:szCs w:val="21"/>
          <w:highlight w:val="none"/>
        </w:rPr>
        <w:t>是否</w:t>
      </w:r>
      <w:r>
        <w:rPr>
          <w:rFonts w:hint="eastAsia" w:ascii="宋体" w:hAnsi="宋体" w:eastAsia="宋体" w:cs="宋体"/>
          <w:color w:val="auto"/>
          <w:w w:val="100"/>
          <w:szCs w:val="21"/>
          <w:highlight w:val="none"/>
          <w:lang w:eastAsia="zh-CN"/>
        </w:rPr>
        <w:t>为专门面向</w:t>
      </w:r>
      <w:r>
        <w:rPr>
          <w:rFonts w:hint="eastAsia" w:ascii="宋体" w:hAnsi="宋体" w:eastAsia="宋体" w:cs="宋体"/>
          <w:color w:val="auto"/>
          <w:w w:val="100"/>
          <w:szCs w:val="21"/>
          <w:highlight w:val="none"/>
        </w:rPr>
        <w:t>中小企业</w:t>
      </w:r>
      <w:r>
        <w:rPr>
          <w:rFonts w:hint="eastAsia" w:ascii="宋体" w:hAnsi="宋体" w:eastAsia="宋体" w:cs="宋体"/>
          <w:color w:val="auto"/>
          <w:w w:val="100"/>
          <w:szCs w:val="21"/>
          <w:highlight w:val="none"/>
          <w:lang w:eastAsia="zh-CN"/>
        </w:rPr>
        <w:t>的采</w:t>
      </w:r>
      <w:r>
        <w:rPr>
          <w:rFonts w:hint="eastAsia" w:ascii="宋体" w:hAnsi="宋体" w:eastAsia="宋体" w:cs="宋体"/>
          <w:color w:val="auto"/>
          <w:w w:val="100"/>
          <w:szCs w:val="21"/>
          <w:highlight w:val="none"/>
          <w:shd w:val="clear" w:color="auto" w:fill="auto"/>
          <w:lang w:eastAsia="zh-CN"/>
        </w:rPr>
        <w:t>购</w:t>
      </w:r>
      <w:r>
        <w:rPr>
          <w:rFonts w:hint="eastAsia" w:ascii="宋体" w:hAnsi="宋体" w:eastAsia="宋体" w:cs="宋体"/>
          <w:color w:val="auto"/>
          <w:w w:val="100"/>
          <w:szCs w:val="21"/>
          <w:highlight w:val="none"/>
          <w:shd w:val="clear" w:color="auto" w:fill="auto"/>
        </w:rPr>
        <w:t>合同</w:t>
      </w:r>
      <w:r>
        <w:rPr>
          <w:rFonts w:hint="eastAsia" w:ascii="宋体" w:hAnsi="宋体" w:eastAsia="宋体" w:cs="宋体"/>
          <w:color w:val="auto"/>
          <w:w w:val="100"/>
          <w:szCs w:val="21"/>
          <w:highlight w:val="none"/>
          <w:shd w:val="clear" w:color="auto" w:fill="auto"/>
          <w:lang w:eastAsia="zh-CN"/>
        </w:rPr>
        <w:t>（中小企业预留合同）</w:t>
      </w:r>
      <w:r>
        <w:rPr>
          <w:rFonts w:hint="eastAsia" w:ascii="宋体" w:hAnsi="宋体" w:eastAsia="宋体" w:cs="宋体"/>
          <w:color w:val="auto"/>
          <w:szCs w:val="21"/>
          <w:highlight w:val="none"/>
          <w:shd w:val="clear" w:color="auto" w:fill="auto"/>
        </w:rPr>
        <w:t>：</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否</w:t>
      </w:r>
    </w:p>
    <w:p w14:paraId="6EF9D948">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若本项目不专门面向中小企业采购，是否给予小微企业评审优惠：</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否</w:t>
      </w:r>
    </w:p>
    <w:p w14:paraId="5F025AEF">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中标（成交）采购标的制造商是否为残疾人福利性单位：</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否</w:t>
      </w:r>
    </w:p>
    <w:p w14:paraId="4F54E6F0">
      <w:pPr>
        <w:numPr>
          <w:ilvl w:val="0"/>
          <w:numId w:val="0"/>
        </w:numPr>
        <w:snapToGrid w:val="0"/>
        <w:spacing w:beforeLines="0" w:line="400" w:lineRule="exact"/>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中标（成交）采购标的制造商是否为监狱企业：</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否</w:t>
      </w:r>
    </w:p>
    <w:p w14:paraId="2A2F0657">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eastAsia="zh-C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否</w:t>
      </w:r>
    </w:p>
    <w:p w14:paraId="2A56EBD1">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分包主要内容：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FF0B47D">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（如供应商和制造商不同，请分别填写）</w:t>
      </w:r>
      <w:r>
        <w:rPr>
          <w:rFonts w:hint="eastAsia" w:ascii="宋体" w:hAnsi="宋体" w:eastAsia="宋体" w:cs="宋体"/>
          <w:color w:val="auto"/>
          <w:szCs w:val="21"/>
          <w:highlight w:val="none"/>
        </w:rPr>
        <w:t>：</w:t>
      </w:r>
    </w:p>
    <w:p w14:paraId="0A6D3281">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5883B9EE">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类型</w:t>
      </w:r>
      <w:r>
        <w:rPr>
          <w:rFonts w:hint="eastAsia" w:ascii="宋体" w:hAnsi="宋体" w:eastAsia="宋体" w:cs="宋体"/>
          <w:color w:val="auto"/>
          <w:szCs w:val="21"/>
          <w:highlight w:val="none"/>
          <w:lang w:eastAsia="zh-CN"/>
        </w:rPr>
        <w:t>（如果供应商和制造商不同，只填写制造商类型）</w:t>
      </w:r>
      <w:r>
        <w:rPr>
          <w:rFonts w:hint="eastAsia" w:ascii="宋体" w:hAnsi="宋体" w:eastAsia="宋体" w:cs="宋体"/>
          <w:color w:val="auto"/>
          <w:szCs w:val="21"/>
          <w:highlight w:val="none"/>
        </w:rPr>
        <w:t>：</w:t>
      </w:r>
    </w:p>
    <w:p w14:paraId="301A3756">
      <w:pPr>
        <w:adjustRightInd w:val="0"/>
        <w:snapToGrid w:val="0"/>
        <w:spacing w:beforeLines="0" w:line="400" w:lineRule="exact"/>
        <w:ind w:firstLine="840" w:firstLineChars="40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72E10CA5">
      <w:pPr>
        <w:adjustRightInd w:val="0"/>
        <w:snapToGrid w:val="0"/>
        <w:spacing w:beforeLines="0" w:line="400" w:lineRule="exact"/>
        <w:ind w:firstLine="840" w:firstLineChars="400"/>
        <w:rPr>
          <w:rFonts w:hint="eastAsia" w:ascii="宋体" w:hAnsi="宋体" w:eastAsia="宋体" w:cs="宋体"/>
          <w:color w:val="auto"/>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（其他</w:t>
      </w:r>
    </w:p>
    <w:p w14:paraId="31F56B10">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en" w:eastAsia="zh-CN"/>
        </w:rPr>
        <w:t>8</w:t>
      </w:r>
      <w:r>
        <w:rPr>
          <w:rFonts w:hint="eastAsia" w:ascii="宋体" w:hAnsi="宋体" w:eastAsia="宋体" w:cs="宋体"/>
          <w:color w:val="auto"/>
          <w:szCs w:val="21"/>
          <w:highlight w:val="none"/>
          <w:u w:val="none"/>
          <w:lang w:val="en-US" w:eastAsia="zh-CN"/>
        </w:rPr>
        <w:t>）中标（成交）供应商是否为外商投资企业：</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否</w:t>
      </w:r>
    </w:p>
    <w:p w14:paraId="152EB8C7">
      <w:pPr>
        <w:pStyle w:val="101"/>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lang w:val="en-US" w:eastAsia="zh-CN"/>
        </w:rPr>
        <w:t>部分由外国投资者投资</w:t>
      </w:r>
    </w:p>
    <w:p w14:paraId="222068C9">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3AB03BBB">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lang w:eastAsia="zh-CN"/>
        </w:rPr>
        <w:t>（</w:t>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2F34C423">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val="0"/>
          <w:color w:val="auto"/>
          <w:szCs w:val="21"/>
          <w:highlight w:val="none"/>
        </w:rPr>
        <w:t xml:space="preserve">      </w:t>
      </w:r>
    </w:p>
    <w:p w14:paraId="04C918B2">
      <w:pPr>
        <w:adjustRightInd w:val="0"/>
        <w:snapToGrid w:val="0"/>
        <w:spacing w:before="0" w:beforeLines="0" w:line="400" w:lineRule="exact"/>
        <w:ind w:firstLine="840" w:firstLineChars="400"/>
        <w:rPr>
          <w:rFonts w:hint="eastAsia" w:ascii="宋体" w:hAnsi="宋体" w:eastAsia="宋体" w:cs="宋体"/>
          <w:color w:val="auto"/>
          <w:szCs w:val="21"/>
          <w:highlight w:val="none"/>
          <w:u w:val="non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lang w:eastAsia="zh-CN"/>
        </w:rPr>
        <w:t>（否</w:t>
      </w:r>
    </w:p>
    <w:p w14:paraId="03981ECC">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3FFECA5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lang w:eastAsia="zh-CN"/>
        </w:rPr>
        <w:t>（</w:t>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，《节能产品政府采购品目清单》的底级品目名称：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17CF9420">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5DA29687">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lang w:eastAsia="zh-CN"/>
        </w:rPr>
        <w:t>（</w:t>
      </w:r>
      <w:r>
        <w:rPr>
          <w:rFonts w:hint="eastAsia" w:ascii="宋体" w:hAnsi="宋体" w:eastAsia="宋体" w:cs="宋体"/>
          <w:iCs w:val="0"/>
          <w:color w:val="auto"/>
          <w:szCs w:val="21"/>
          <w:highlight w:val="none"/>
        </w:rPr>
        <w:t>否</w:t>
      </w:r>
    </w:p>
    <w:p w14:paraId="26628C23">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4DDD948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lang w:eastAsia="zh-CN"/>
        </w:rPr>
        <w:t>（</w:t>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，《环境标志产品政府采购品目清单》的底级品目名称：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3A389877">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44730DF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lang w:eastAsia="zh-CN"/>
        </w:rPr>
        <w:t>（</w:t>
      </w:r>
      <w:r>
        <w:rPr>
          <w:rFonts w:hint="eastAsia" w:ascii="宋体" w:hAnsi="宋体" w:eastAsia="宋体" w:cs="宋体"/>
          <w:iCs w:val="0"/>
          <w:color w:val="auto"/>
          <w:szCs w:val="21"/>
          <w:highlight w:val="none"/>
        </w:rPr>
        <w:t>否</w:t>
      </w:r>
    </w:p>
    <w:p w14:paraId="7C0ED03A">
      <w:pPr>
        <w:pStyle w:val="101"/>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7000F447">
      <w:pPr>
        <w:pStyle w:val="101"/>
        <w:spacing w:beforeLines="0"/>
        <w:ind w:firstLine="42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lang w:eastAsia="zh-CN"/>
        </w:rPr>
        <w:t>（</w:t>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Cs w:val="21"/>
          <w:highlight w:val="none"/>
          <w:u w:val="single"/>
          <w:lang w:val="en-US" w:eastAsia="zh-CN"/>
        </w:rPr>
        <w:t xml:space="preserve">         </w:t>
      </w:r>
    </w:p>
    <w:p w14:paraId="1D4E648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3F5D293C">
      <w:pPr>
        <w:pStyle w:val="101"/>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lang w:eastAsia="zh-CN"/>
        </w:rPr>
        <w:t>（</w:t>
      </w:r>
      <w:r>
        <w:rPr>
          <w:rFonts w:hint="eastAsia" w:ascii="宋体" w:hAnsi="宋体" w:eastAsia="宋体" w:cs="宋体"/>
          <w:iCs w:val="0"/>
          <w:color w:val="auto"/>
          <w:kern w:val="2"/>
          <w:sz w:val="21"/>
          <w:szCs w:val="21"/>
          <w:highlight w:val="none"/>
          <w:u w:val="none"/>
        </w:rPr>
        <w:t>否</w:t>
      </w:r>
    </w:p>
    <w:p w14:paraId="034F84E3">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w:t>
      </w:r>
      <w:r>
        <w:rPr>
          <w:rFonts w:hint="eastAsia" w:ascii="宋体" w:hAnsi="宋体" w:eastAsia="宋体" w:cs="宋体"/>
          <w:color w:val="auto"/>
          <w:szCs w:val="21"/>
          <w:highlight w:val="none"/>
          <w:lang w:val="en" w:eastAsia="zh-CN"/>
        </w:rPr>
        <w:t>1</w:t>
      </w:r>
      <w:r>
        <w:rPr>
          <w:rFonts w:hint="eastAsia" w:ascii="宋体" w:hAnsi="宋体" w:eastAsia="宋体" w:cs="宋体"/>
          <w:color w:val="auto"/>
          <w:szCs w:val="21"/>
          <w:highlight w:val="none"/>
          <w:lang w:val="en-US" w:eastAsia="zh-CN"/>
        </w:rPr>
        <w:t>）涉及商品包装和快递包装的，是否参考</w:t>
      </w:r>
      <w:r>
        <w:rPr>
          <w:rFonts w:hint="eastAsia" w:ascii="宋体" w:hAnsi="宋体" w:eastAsia="宋体" w:cs="宋体"/>
          <w:color w:val="auto"/>
          <w:szCs w:val="21"/>
          <w:highlight w:val="none"/>
        </w:rPr>
        <w:t>《商品包装政府采购需求标准（试行）》、《快递包装政府采购需求标准（试行）》</w:t>
      </w:r>
      <w:r>
        <w:rPr>
          <w:rFonts w:hint="eastAsia" w:ascii="宋体" w:hAnsi="宋体" w:eastAsia="宋体" w:cs="宋体"/>
          <w:color w:val="auto"/>
          <w:szCs w:val="21"/>
          <w:highlight w:val="none"/>
          <w:lang w:eastAsia="zh-CN"/>
        </w:rPr>
        <w:t>明确产品及相关快递服务的具体包装要求：</w:t>
      </w:r>
    </w:p>
    <w:p w14:paraId="59DB5E1A">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lang w:val="en-US" w:eastAsia="zh-CN"/>
        </w:rPr>
      </w:pPr>
      <w:r>
        <w:rPr>
          <w:rFonts w:hint="eastAsia" w:ascii="宋体" w:hAnsi="宋体" w:eastAsia="宋体" w:cs="宋体"/>
          <w:iCs w:val="0"/>
          <w:color w:val="auto"/>
          <w:szCs w:val="21"/>
          <w:highlight w:val="none"/>
          <w:lang w:eastAsia="zh-CN"/>
        </w:rPr>
        <w:t>（</w:t>
      </w:r>
      <w:r>
        <w:rPr>
          <w:rFonts w:hint="eastAsia" w:ascii="宋体" w:hAnsi="宋体" w:eastAsia="宋体" w:cs="宋体"/>
          <w:iCs w:val="0"/>
          <w:color w:val="auto"/>
          <w:szCs w:val="21"/>
          <w:highlight w:val="none"/>
        </w:rPr>
        <w:t xml:space="preserve">是       </w:t>
      </w:r>
      <w:r>
        <w:rPr>
          <w:rFonts w:hint="eastAsia" w:ascii="宋体" w:hAnsi="宋体" w:eastAsia="宋体" w:cs="宋体"/>
          <w:iCs w:val="0"/>
          <w:color w:val="auto"/>
          <w:szCs w:val="21"/>
          <w:highlight w:val="none"/>
          <w:lang w:eastAsia="zh-CN"/>
        </w:rPr>
        <w:t>（</w:t>
      </w:r>
      <w:r>
        <w:rPr>
          <w:rFonts w:hint="eastAsia" w:ascii="宋体" w:hAnsi="宋体" w:eastAsia="宋体" w:cs="宋体"/>
          <w:iCs w:val="0"/>
          <w:color w:val="auto"/>
          <w:szCs w:val="21"/>
          <w:highlight w:val="none"/>
        </w:rPr>
        <w:t>否</w:t>
      </w: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lang w:eastAsia="zh-CN"/>
        </w:rPr>
        <w:t>（不涉及</w:t>
      </w:r>
    </w:p>
    <w:p w14:paraId="23100EB5">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31303CF2">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FB5A45B">
      <w:pPr>
        <w:adjustRightInd w:val="0"/>
        <w:snapToGrid w:val="0"/>
        <w:spacing w:before="0" w:beforeLines="0" w:line="400" w:lineRule="exact"/>
        <w:ind w:left="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67AC829">
      <w:p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14:paraId="14844C7F">
      <w:pPr>
        <w:adjustRightInd w:val="0"/>
        <w:snapToGrid w:val="0"/>
        <w:spacing w:before="0" w:beforeLines="0" w:line="4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11E09AA">
      <w:p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（注：固定单价合同应填写单价和最高限价）</w:t>
      </w:r>
    </w:p>
    <w:p w14:paraId="670AA42F">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合同定价方式</w:t>
      </w:r>
      <w:r>
        <w:rPr>
          <w:rFonts w:hint="eastAsia" w:ascii="宋体" w:hAnsi="宋体" w:eastAsia="宋体" w:cs="宋体"/>
          <w:color w:val="auto"/>
          <w:szCs w:val="21"/>
          <w:highlight w:val="none"/>
          <w:lang w:eastAsia="zh-CN"/>
        </w:rPr>
        <w:t>（采用组合定价方式的，可以勾选多项）</w:t>
      </w:r>
      <w:r>
        <w:rPr>
          <w:rFonts w:hint="eastAsia" w:ascii="宋体" w:hAnsi="宋体" w:eastAsia="宋体" w:cs="宋体"/>
          <w:color w:val="auto"/>
          <w:szCs w:val="21"/>
          <w:highlight w:val="none"/>
        </w:rPr>
        <w:t>：</w:t>
      </w:r>
    </w:p>
    <w:p w14:paraId="7C6501E2">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（固定费率</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lang w:eastAsia="zh-CN"/>
        </w:rPr>
        <w:t>（其他</w:t>
      </w:r>
      <w:r>
        <w:rPr>
          <w:rFonts w:hint="eastAsia" w:ascii="宋体" w:hAnsi="宋体" w:eastAsia="宋体" w:cs="宋体"/>
          <w:color w:val="auto"/>
          <w:szCs w:val="21"/>
          <w:highlight w:val="none"/>
          <w:u w:val="single"/>
        </w:rPr>
        <w:t xml:space="preserve">       </w:t>
      </w:r>
    </w:p>
    <w:p w14:paraId="695D6F69">
      <w:pPr>
        <w:pStyle w:val="69"/>
        <w:spacing w:beforeLines="0" w:line="400" w:lineRule="exac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）付款方式（按项目实际勾选填写）：</w:t>
      </w:r>
    </w:p>
    <w:p w14:paraId="7CF4BB92">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w:t>
      </w:r>
      <w:r>
        <w:rPr>
          <w:rFonts w:hint="eastAsia" w:ascii="宋体" w:hAnsi="宋体" w:eastAsia="宋体" w:cs="宋体"/>
          <w:color w:val="auto"/>
          <w:szCs w:val="21"/>
          <w:highlight w:val="none"/>
          <w:u w:val="single"/>
          <w:lang w:eastAsia="zh-CN"/>
        </w:rPr>
        <w:t>明确</w:t>
      </w:r>
      <w:r>
        <w:rPr>
          <w:rFonts w:hint="eastAsia" w:ascii="宋体" w:hAnsi="宋体" w:eastAsia="宋体" w:cs="宋体"/>
          <w:color w:val="auto"/>
          <w:szCs w:val="21"/>
          <w:highlight w:val="none"/>
          <w:u w:val="single"/>
        </w:rPr>
        <w:t>一次性支付合同款项</w:t>
      </w:r>
      <w:r>
        <w:rPr>
          <w:rFonts w:hint="eastAsia" w:ascii="宋体" w:hAnsi="宋体" w:eastAsia="宋体" w:cs="宋体"/>
          <w:color w:val="auto"/>
          <w:szCs w:val="21"/>
          <w:highlight w:val="none"/>
          <w:u w:val="single"/>
          <w:lang w:eastAsia="zh-CN"/>
        </w:rPr>
        <w:t>的条件</w:t>
      </w:r>
      <w:r>
        <w:rPr>
          <w:rFonts w:hint="eastAsia" w:ascii="宋体" w:hAnsi="宋体" w:eastAsia="宋体" w:cs="宋体"/>
          <w:color w:val="auto"/>
          <w:szCs w:val="21"/>
          <w:highlight w:val="none"/>
          <w:u w:val="single"/>
        </w:rPr>
        <w:t xml:space="preserve">）                    </w:t>
      </w:r>
    </w:p>
    <w:p w14:paraId="3E8F7C94">
      <w:pPr>
        <w:snapToGrid w:val="0"/>
        <w:spacing w:beforeLines="0"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w:t>
      </w:r>
      <w:r>
        <w:rPr>
          <w:rFonts w:hint="eastAsia" w:ascii="宋体" w:hAnsi="宋体" w:eastAsia="宋体" w:cs="宋体"/>
          <w:color w:val="auto"/>
          <w:szCs w:val="21"/>
          <w:highlight w:val="none"/>
          <w:u w:val="single"/>
          <w:lang w:eastAsia="zh-CN"/>
        </w:rPr>
        <w:t>，各期支付条件应与分期履约验收情况挂钩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eastAsia="zh-CN"/>
        </w:rPr>
        <w:t>其中涉及预付款的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（应明确预付款的支付比例和支付条件） </w:t>
      </w:r>
    </w:p>
    <w:p w14:paraId="1B2BD471">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4711C21C">
      <w:pPr>
        <w:adjustRightInd w:val="0"/>
        <w:snapToGrid w:val="0"/>
        <w:spacing w:before="0" w:beforeLines="0"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00F90D4F">
      <w:pPr>
        <w:numPr>
          <w:ilvl w:val="0"/>
          <w:numId w:val="5"/>
        </w:numPr>
        <w:adjustRightInd w:val="0"/>
        <w:snapToGrid w:val="0"/>
        <w:spacing w:before="0" w:beforeLines="0" w:line="40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rPr>
        <w:t>合同履行</w:t>
      </w:r>
    </w:p>
    <w:p w14:paraId="3A442326">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67E47F">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p>
    <w:p w14:paraId="1C4A0C6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（否</w:t>
      </w:r>
    </w:p>
    <w:p w14:paraId="344E0E5B">
      <w:pPr>
        <w:pStyle w:val="101"/>
        <w:spacing w:beforeLines="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4822B814">
      <w:pPr>
        <w:pStyle w:val="101"/>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CE0ACB6">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DD82B7A">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1C5E5FEE">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77B738D7">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380007E2">
      <w:pPr>
        <w:numPr>
          <w:ilvl w:val="0"/>
          <w:numId w:val="7"/>
        </w:num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委托第三方组织</w:t>
      </w:r>
    </w:p>
    <w:p w14:paraId="2F3CADC4">
      <w:pPr>
        <w:numPr>
          <w:ilvl w:val="0"/>
          <w:numId w:val="0"/>
        </w:numPr>
        <w:adjustRightInd w:val="0"/>
        <w:snapToGrid w:val="0"/>
        <w:spacing w:before="0" w:beforeLines="0"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验收主体：</w:t>
      </w:r>
      <w:r>
        <w:rPr>
          <w:rFonts w:hint="eastAsia" w:ascii="宋体" w:hAnsi="宋体" w:eastAsia="宋体" w:cs="宋体"/>
          <w:bCs/>
          <w:color w:val="auto"/>
          <w:szCs w:val="21"/>
          <w:highlight w:val="none"/>
          <w:u w:val="single"/>
        </w:rPr>
        <w:t xml:space="preserve">                  </w:t>
      </w:r>
    </w:p>
    <w:p w14:paraId="3EED0063">
      <w:pPr>
        <w:adjustRightInd w:val="0"/>
        <w:snapToGrid w:val="0"/>
        <w:spacing w:before="0" w:beforeLines="0"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是否邀请本项目的其他供应商</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否</w:t>
      </w:r>
    </w:p>
    <w:p w14:paraId="792ACC63">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否</w:t>
      </w:r>
    </w:p>
    <w:p w14:paraId="209DEEDE">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否</w:t>
      </w:r>
    </w:p>
    <w:p w14:paraId="2A3D4C85">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否</w:t>
      </w:r>
    </w:p>
    <w:p w14:paraId="2CCBB39C">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是否进行抽查检测：</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否</w:t>
      </w:r>
    </w:p>
    <w:p w14:paraId="4C9CC32A">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lang w:val="en-US" w:eastAsia="zh-CN"/>
        </w:rPr>
        <w:t>是否存在破坏性检测：</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eastAsia="zh-CN"/>
        </w:rPr>
        <w:t>（应明确对被破坏的检测产品的处理方式）</w:t>
      </w:r>
    </w:p>
    <w:p w14:paraId="1202D5D8">
      <w:pPr>
        <w:adjustRightInd w:val="0"/>
        <w:snapToGrid w:val="0"/>
        <w:spacing w:before="0" w:beforeLines="0" w:line="400" w:lineRule="exact"/>
        <w:ind w:firstLine="840" w:firstLineChars="4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否</w:t>
      </w:r>
    </w:p>
    <w:p w14:paraId="79FA839C">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11D6E750">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r>
        <w:rPr>
          <w:rFonts w:hint="eastAsia" w:ascii="宋体" w:hAnsi="宋体" w:eastAsia="宋体" w:cs="宋体"/>
          <w:bCs/>
          <w:color w:val="auto"/>
          <w:szCs w:val="21"/>
          <w:highlight w:val="none"/>
          <w:u w:val="single"/>
          <w:lang w:val="en-US" w:eastAsia="zh-CN"/>
        </w:rPr>
        <w:t xml:space="preserve"> </w:t>
      </w:r>
    </w:p>
    <w:p w14:paraId="515F289D">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 xml:space="preserve">一次性验收         </w:t>
      </w:r>
    </w:p>
    <w:p w14:paraId="5C777F13">
      <w:pPr>
        <w:adjustRightInd w:val="0"/>
        <w:snapToGrid w:val="0"/>
        <w:spacing w:before="0" w:beforeLines="0" w:line="400" w:lineRule="exact"/>
        <w:ind w:firstLine="0" w:firstLine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（应明确分期</w:t>
      </w:r>
      <w:r>
        <w:rPr>
          <w:rFonts w:hint="eastAsia" w:ascii="宋体" w:hAnsi="宋体" w:eastAsia="宋体" w:cs="宋体"/>
          <w:bCs/>
          <w:color w:val="auto"/>
          <w:szCs w:val="21"/>
          <w:highlight w:val="none"/>
          <w:u w:val="single"/>
          <w:lang w:val="en" w:eastAsia="zh-CN"/>
        </w:rPr>
        <w:t>/分项验收的工作安排</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274FAC74">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3A47312B">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Cs w:val="21"/>
          <w:highlight w:val="none"/>
          <w:u w:val="single"/>
        </w:rPr>
        <w:t xml:space="preserve">                                      </w:t>
      </w:r>
    </w:p>
    <w:p w14:paraId="1F83A983">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2F3104D9">
      <w:pPr>
        <w:pStyle w:val="101"/>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否</w:t>
      </w:r>
    </w:p>
    <w:p w14:paraId="493626D6">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p>
    <w:p w14:paraId="658CD811">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13FD4398">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7D392B07">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5A063849">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38777C40">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5DA909F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2050686F">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5C7327E1">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15FF517F">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3ED1C51A">
      <w:pPr>
        <w:pStyle w:val="101"/>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7A3093F2">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6CDAF111">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46101057">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61CB3C04">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5D22E0F1">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2962678">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4903F41E">
      <w:pPr>
        <w:adjustRightInd w:val="0"/>
        <w:snapToGrid w:val="0"/>
        <w:spacing w:before="0" w:beforeLines="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64550889">
      <w:pPr>
        <w:pStyle w:val="69"/>
        <w:spacing w:beforeLines="0" w:line="400" w:lineRule="exact"/>
        <w:rPr>
          <w:rFonts w:hint="eastAsia" w:ascii="宋体" w:hAnsi="宋体" w:eastAsia="宋体" w:cs="宋体"/>
          <w:color w:val="auto"/>
          <w:highlight w:val="none"/>
        </w:rPr>
      </w:pPr>
    </w:p>
    <w:p w14:paraId="6E2051B3">
      <w:pPr>
        <w:pStyle w:val="3"/>
        <w:spacing w:beforeLines="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
        </w:rPr>
        <w:t xml:space="preserve">   </w:t>
      </w:r>
    </w:p>
    <w:p w14:paraId="05DAEE3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1B62654">
      <w:pPr>
        <w:pStyle w:val="69"/>
        <w:rPr>
          <w:rFonts w:hint="eastAsia" w:ascii="宋体" w:hAnsi="宋体" w:eastAsia="宋体" w:cs="宋体"/>
          <w:color w:val="auto"/>
          <w:highlight w:val="none"/>
        </w:rPr>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8"/>
        <w:gridCol w:w="2638"/>
        <w:gridCol w:w="2164"/>
        <w:gridCol w:w="2315"/>
      </w:tblGrid>
      <w:tr w14:paraId="194EFC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513ED594">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4D451C74">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7BD543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13F866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94DB247">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8EE41A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3B84F5BF">
            <w:pPr>
              <w:adjustRightInd w:val="0"/>
              <w:snapToGrid w:val="0"/>
              <w:spacing w:line="300" w:lineRule="exact"/>
              <w:jc w:val="center"/>
              <w:rPr>
                <w:rFonts w:hint="eastAsia" w:ascii="宋体" w:hAnsi="宋体" w:eastAsia="宋体" w:cs="宋体"/>
                <w:color w:val="auto"/>
                <w:spacing w:val="20"/>
                <w:szCs w:val="21"/>
                <w:highlight w:val="none"/>
              </w:rPr>
            </w:pPr>
          </w:p>
        </w:tc>
      </w:tr>
      <w:tr w14:paraId="27C46D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38DC96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081B2F97">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1C720C7E">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15B685F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60C0C79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7690FFAF">
            <w:pPr>
              <w:adjustRightInd w:val="0"/>
              <w:snapToGrid w:val="0"/>
              <w:spacing w:line="300" w:lineRule="exact"/>
              <w:jc w:val="center"/>
              <w:rPr>
                <w:rFonts w:hint="eastAsia" w:ascii="宋体" w:hAnsi="宋体" w:eastAsia="宋体" w:cs="宋体"/>
                <w:color w:val="auto"/>
                <w:szCs w:val="21"/>
                <w:highlight w:val="none"/>
              </w:rPr>
            </w:pPr>
          </w:p>
        </w:tc>
      </w:tr>
      <w:tr w14:paraId="58018B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122F8FBA">
            <w:pPr>
              <w:adjustRightInd w:val="0"/>
              <w:snapToGrid w:val="0"/>
              <w:spacing w:line="300" w:lineRule="exact"/>
              <w:jc w:val="center"/>
              <w:rPr>
                <w:rFonts w:hint="eastAsia" w:ascii="宋体" w:hAnsi="宋体" w:eastAsia="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29E4B82">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57224A4">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6A6313C1">
            <w:pPr>
              <w:adjustRightInd w:val="0"/>
              <w:snapToGrid w:val="0"/>
              <w:spacing w:line="300" w:lineRule="exact"/>
              <w:jc w:val="center"/>
              <w:rPr>
                <w:rFonts w:hint="eastAsia" w:ascii="宋体" w:hAnsi="宋体" w:eastAsia="宋体" w:cs="宋体"/>
                <w:color w:val="auto"/>
                <w:spacing w:val="20"/>
                <w:szCs w:val="21"/>
                <w:highlight w:val="none"/>
              </w:rPr>
            </w:pPr>
          </w:p>
        </w:tc>
      </w:tr>
      <w:tr w14:paraId="53E3E3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BD68148">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A4B1DB6">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5644F4">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D146626">
            <w:pPr>
              <w:adjustRightInd w:val="0"/>
              <w:snapToGrid w:val="0"/>
              <w:spacing w:line="300" w:lineRule="exact"/>
              <w:jc w:val="center"/>
              <w:rPr>
                <w:rFonts w:hint="eastAsia" w:ascii="宋体" w:hAnsi="宋体" w:eastAsia="宋体" w:cs="宋体"/>
                <w:color w:val="auto"/>
                <w:spacing w:val="20"/>
                <w:szCs w:val="21"/>
                <w:highlight w:val="none"/>
              </w:rPr>
            </w:pPr>
          </w:p>
        </w:tc>
      </w:tr>
      <w:tr w14:paraId="729B78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7AFEA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F21397">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65E879">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2FD19497">
            <w:pPr>
              <w:adjustRightInd w:val="0"/>
              <w:snapToGrid w:val="0"/>
              <w:spacing w:line="300" w:lineRule="exact"/>
              <w:jc w:val="center"/>
              <w:rPr>
                <w:rFonts w:hint="eastAsia" w:ascii="宋体" w:hAnsi="宋体" w:eastAsia="宋体" w:cs="宋体"/>
                <w:color w:val="auto"/>
                <w:spacing w:val="20"/>
                <w:szCs w:val="21"/>
                <w:highlight w:val="none"/>
              </w:rPr>
            </w:pPr>
          </w:p>
        </w:tc>
      </w:tr>
      <w:tr w14:paraId="264A2A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26A016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D89498">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924CE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9F2D76F">
            <w:pPr>
              <w:adjustRightInd w:val="0"/>
              <w:snapToGrid w:val="0"/>
              <w:spacing w:line="300" w:lineRule="exact"/>
              <w:jc w:val="center"/>
              <w:rPr>
                <w:rFonts w:hint="eastAsia" w:ascii="宋体" w:hAnsi="宋体" w:eastAsia="宋体" w:cs="宋体"/>
                <w:color w:val="auto"/>
                <w:spacing w:val="20"/>
                <w:szCs w:val="21"/>
                <w:highlight w:val="none"/>
              </w:rPr>
            </w:pPr>
          </w:p>
        </w:tc>
      </w:tr>
      <w:tr w14:paraId="34924D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9BD9867">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1B0F18F">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1C1CD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526F7418">
            <w:pPr>
              <w:adjustRightInd w:val="0"/>
              <w:snapToGrid w:val="0"/>
              <w:spacing w:line="300" w:lineRule="exact"/>
              <w:jc w:val="center"/>
              <w:rPr>
                <w:rFonts w:hint="eastAsia" w:ascii="宋体" w:hAnsi="宋体" w:eastAsia="宋体" w:cs="宋体"/>
                <w:color w:val="auto"/>
                <w:spacing w:val="20"/>
                <w:szCs w:val="21"/>
                <w:highlight w:val="none"/>
              </w:rPr>
            </w:pPr>
          </w:p>
        </w:tc>
      </w:tr>
      <w:tr w14:paraId="2A93E8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20DC3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31B8366">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86EAD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2F69F143">
            <w:pPr>
              <w:adjustRightInd w:val="0"/>
              <w:snapToGrid w:val="0"/>
              <w:spacing w:line="300" w:lineRule="exact"/>
              <w:jc w:val="center"/>
              <w:rPr>
                <w:rFonts w:hint="eastAsia" w:ascii="宋体" w:hAnsi="宋体" w:eastAsia="宋体" w:cs="宋体"/>
                <w:color w:val="auto"/>
                <w:spacing w:val="20"/>
                <w:szCs w:val="21"/>
                <w:highlight w:val="none"/>
              </w:rPr>
            </w:pPr>
          </w:p>
        </w:tc>
      </w:tr>
      <w:tr w14:paraId="46A60B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62AEF5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1547016">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27B3D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0B76B2B0">
            <w:pPr>
              <w:adjustRightInd w:val="0"/>
              <w:snapToGrid w:val="0"/>
              <w:spacing w:line="300" w:lineRule="exact"/>
              <w:jc w:val="center"/>
              <w:rPr>
                <w:rFonts w:hint="eastAsia" w:ascii="宋体" w:hAnsi="宋体" w:eastAsia="宋体" w:cs="宋体"/>
                <w:color w:val="auto"/>
                <w:spacing w:val="20"/>
                <w:szCs w:val="21"/>
                <w:highlight w:val="none"/>
              </w:rPr>
            </w:pPr>
          </w:p>
        </w:tc>
      </w:tr>
      <w:tr w14:paraId="0B2816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A9DC9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F7DDF9">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7F333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7B9B06B">
            <w:pPr>
              <w:adjustRightInd w:val="0"/>
              <w:snapToGrid w:val="0"/>
              <w:spacing w:line="300" w:lineRule="exact"/>
              <w:jc w:val="center"/>
              <w:rPr>
                <w:rFonts w:hint="eastAsia" w:ascii="宋体" w:hAnsi="宋体" w:eastAsia="宋体" w:cs="宋体"/>
                <w:color w:val="auto"/>
                <w:spacing w:val="20"/>
                <w:szCs w:val="21"/>
                <w:highlight w:val="none"/>
              </w:rPr>
            </w:pPr>
          </w:p>
        </w:tc>
      </w:tr>
      <w:tr w14:paraId="26FCA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7F1D47">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C804E31">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D0E9B4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5C34C700">
            <w:pPr>
              <w:adjustRightInd w:val="0"/>
              <w:snapToGrid w:val="0"/>
              <w:spacing w:line="300" w:lineRule="exact"/>
              <w:jc w:val="center"/>
              <w:rPr>
                <w:rFonts w:hint="eastAsia" w:ascii="宋体" w:hAnsi="宋体" w:eastAsia="宋体" w:cs="宋体"/>
                <w:color w:val="auto"/>
                <w:spacing w:val="20"/>
                <w:szCs w:val="21"/>
                <w:highlight w:val="none"/>
              </w:rPr>
            </w:pPr>
          </w:p>
        </w:tc>
      </w:tr>
      <w:tr w14:paraId="425E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65DF10E">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D51C78D">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046DF9">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1E740CE">
            <w:pPr>
              <w:adjustRightInd w:val="0"/>
              <w:snapToGrid w:val="0"/>
              <w:spacing w:line="300" w:lineRule="exact"/>
              <w:jc w:val="center"/>
              <w:rPr>
                <w:rFonts w:hint="eastAsia" w:ascii="宋体" w:hAnsi="宋体" w:eastAsia="宋体" w:cs="宋体"/>
                <w:color w:val="auto"/>
                <w:spacing w:val="20"/>
                <w:szCs w:val="21"/>
                <w:highlight w:val="none"/>
              </w:rPr>
            </w:pPr>
          </w:p>
        </w:tc>
      </w:tr>
      <w:tr w14:paraId="0F3F50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E532CF">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08613C9">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20A47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45EF2404">
            <w:pPr>
              <w:adjustRightInd w:val="0"/>
              <w:snapToGrid w:val="0"/>
              <w:spacing w:line="300" w:lineRule="exact"/>
              <w:jc w:val="center"/>
              <w:rPr>
                <w:rFonts w:hint="eastAsia" w:ascii="宋体" w:hAnsi="宋体" w:eastAsia="宋体" w:cs="宋体"/>
                <w:color w:val="auto"/>
                <w:spacing w:val="20"/>
                <w:szCs w:val="21"/>
                <w:highlight w:val="none"/>
              </w:rPr>
            </w:pPr>
          </w:p>
        </w:tc>
      </w:tr>
      <w:tr w14:paraId="24207A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CE5D86D">
            <w:pPr>
              <w:pStyle w:val="10"/>
              <w:adjustRightInd w:val="0"/>
              <w:snapToGrid w:val="0"/>
              <w:spacing w:before="156" w:beforeLines="50" w:after="0" w:line="360" w:lineRule="auto"/>
              <w:ind w:left="0" w:left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3C286180">
      <w:pPr>
        <w:pStyle w:val="3"/>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20" w:name="_Toc27624"/>
      <w:r>
        <w:rPr>
          <w:rFonts w:hint="eastAsia" w:ascii="宋体" w:hAnsi="宋体" w:eastAsia="宋体" w:cs="宋体"/>
          <w:b w:val="0"/>
          <w:bCs w:val="0"/>
          <w:color w:val="auto"/>
          <w:sz w:val="28"/>
          <w:szCs w:val="28"/>
          <w:highlight w:val="none"/>
        </w:rPr>
        <w:t>第二节 政府采购合同通用条款</w:t>
      </w:r>
      <w:bookmarkEnd w:id="20"/>
    </w:p>
    <w:p w14:paraId="28A85ED0">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定义</w:t>
      </w:r>
    </w:p>
    <w:p w14:paraId="706B64E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61DD1A0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7188DFC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25EE473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7F1B98B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00E11DFE">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政府采购合同专用条款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政府采购合同通用条款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投标（响应）文件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有关技术文件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图纸</w:t>
      </w:r>
      <w:r>
        <w:rPr>
          <w:rFonts w:hint="eastAsia" w:ascii="宋体" w:hAnsi="宋体" w:eastAsia="宋体" w:cs="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3FA4F76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735E10F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7DBE7B04">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服务”系指根据合同规定，乙方应提供的</w:t>
      </w:r>
      <w:r>
        <w:rPr>
          <w:rFonts w:hint="eastAsia" w:ascii="宋体" w:hAnsi="宋体" w:eastAsia="宋体" w:cs="宋体"/>
          <w:color w:val="auto"/>
          <w:szCs w:val="21"/>
          <w:highlight w:val="none"/>
          <w:lang w:val="en-US" w:eastAsia="zh-CN"/>
        </w:rPr>
        <w:t>与货物有关的</w:t>
      </w:r>
      <w:r>
        <w:rPr>
          <w:rFonts w:hint="eastAsia" w:ascii="宋体" w:hAnsi="宋体" w:eastAsia="宋体" w:cs="宋体"/>
          <w:color w:val="auto"/>
          <w:szCs w:val="21"/>
          <w:highlight w:val="none"/>
        </w:rPr>
        <w:t>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w:t>
      </w:r>
      <w:r>
        <w:rPr>
          <w:rFonts w:hint="eastAsia" w:ascii="宋体" w:hAnsi="宋体" w:eastAsia="宋体" w:cs="宋体"/>
          <w:color w:val="auto"/>
          <w:szCs w:val="21"/>
          <w:highlight w:val="none"/>
          <w:lang w:eastAsia="zh-CN"/>
        </w:rPr>
        <w:t>废弃处置、</w:t>
      </w:r>
      <w:r>
        <w:rPr>
          <w:rFonts w:hint="eastAsia" w:ascii="宋体" w:hAnsi="宋体" w:eastAsia="宋体" w:cs="宋体"/>
          <w:color w:val="auto"/>
          <w:szCs w:val="21"/>
          <w:highlight w:val="none"/>
        </w:rPr>
        <w:t>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509AB22D">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）“分包”系指中标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供应商按采购文件、投标（响应）文件的规定，根据分包意向协议，将中标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项目中的部分履约内容，分给具有相应资质条件的供应商履行合同的行为。</w:t>
      </w:r>
    </w:p>
    <w:p w14:paraId="027FCC9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）“联合体”系指</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两个以上的自然人、法人或者</w:t>
      </w:r>
      <w:r>
        <w:rPr>
          <w:rFonts w:hint="eastAsia" w:ascii="宋体" w:hAnsi="宋体" w:eastAsia="宋体" w:cs="宋体"/>
          <w:color w:val="auto"/>
          <w:szCs w:val="21"/>
          <w:highlight w:val="none"/>
          <w:lang w:val="en-US" w:eastAsia="zh-CN"/>
        </w:rPr>
        <w:t>非法人</w:t>
      </w:r>
      <w:r>
        <w:rPr>
          <w:rFonts w:hint="eastAsia" w:ascii="宋体" w:hAnsi="宋体" w:eastAsia="宋体" w:cs="宋体"/>
          <w:color w:val="auto"/>
          <w:szCs w:val="21"/>
          <w:highlight w:val="none"/>
        </w:rPr>
        <w:t>组织组成，</w:t>
      </w:r>
      <w:r>
        <w:rPr>
          <w:rFonts w:hint="eastAsia" w:ascii="宋体" w:hAnsi="宋体" w:eastAsia="宋体" w:cs="宋体"/>
          <w:color w:val="auto"/>
          <w:szCs w:val="21"/>
          <w:highlight w:val="none"/>
          <w:lang w:eastAsia="zh-CN"/>
        </w:rPr>
        <w:t>以一个供应商的身份共同参加政府采购的主体。</w:t>
      </w:r>
      <w:r>
        <w:rPr>
          <w:rFonts w:hint="eastAsia" w:ascii="宋体" w:hAnsi="宋体" w:eastAsia="宋体" w:cs="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6DD7F74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48D5A74F">
      <w:pPr>
        <w:numPr>
          <w:ilvl w:val="0"/>
          <w:numId w:val="8"/>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00A6B0E0">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.1 合同标的及金额应与中标（成交）结果一致。乙方为履行本合同而发生的所有费用均应包含在合同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44B3BA94">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履行合同的时间、地点和方式</w:t>
      </w:r>
    </w:p>
    <w:p w14:paraId="54FD345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.1 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0FA3576">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甲方的权利和义务</w:t>
      </w:r>
    </w:p>
    <w:p w14:paraId="17EA5A4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签署合同后，甲方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，负责与本合同有关的事务。甲方有权对乙方的履约行为进行检查，并及时确认乙方提交的事项。甲方应当配合乙方完成相关项目实施工作。</w:t>
      </w:r>
    </w:p>
    <w:p w14:paraId="359B71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582AA61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.3 甲方有权要求乙方对缺陷部分予以修复，并按合同约定享有货物保修及其他合同约定的权利。</w:t>
      </w:r>
    </w:p>
    <w:p w14:paraId="640E54FF">
      <w:pPr>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4.4 甲方应当按照合同约定及时对交付的货物进行验收，</w:t>
      </w:r>
      <w:r>
        <w:rPr>
          <w:rFonts w:hint="eastAsia" w:ascii="宋体" w:hAnsi="宋体" w:eastAsia="宋体" w:cs="宋体"/>
          <w:b w:val="0"/>
          <w:bCs w:val="0"/>
          <w:color w:val="auto"/>
          <w:szCs w:val="21"/>
          <w:highlight w:val="none"/>
          <w:lang w:eastAsia="zh-CN"/>
        </w:rPr>
        <w:t>未</w:t>
      </w:r>
      <w:r>
        <w:rPr>
          <w:rFonts w:hint="eastAsia" w:ascii="宋体" w:hAnsi="宋体" w:eastAsia="宋体" w:cs="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宋体"/>
          <w:color w:val="auto"/>
          <w:szCs w:val="21"/>
          <w:highlight w:val="none"/>
          <w:lang w:val="en-US" w:eastAsia="zh-CN"/>
        </w:rPr>
        <w:t>视为验收通过。</w:t>
      </w:r>
    </w:p>
    <w:p w14:paraId="65520304">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甲方应当根据合同约定</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时向乙方支付</w:t>
      </w:r>
      <w:r>
        <w:rPr>
          <w:rFonts w:hint="eastAsia" w:ascii="宋体" w:hAnsi="宋体" w:eastAsia="宋体" w:cs="宋体"/>
          <w:color w:val="auto"/>
          <w:szCs w:val="21"/>
          <w:highlight w:val="none"/>
          <w:lang w:eastAsia="zh-CN"/>
        </w:rPr>
        <w:t>合同价款，不得以内部人员变更、履行内部付款流程等为由，拒绝或迟延支付。</w:t>
      </w:r>
    </w:p>
    <w:p w14:paraId="7E03F20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由甲方承担的其他义务和责任。</w:t>
      </w:r>
    </w:p>
    <w:p w14:paraId="1045289A">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乙方的权利和义务</w:t>
      </w:r>
    </w:p>
    <w:p w14:paraId="1E9D51D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.1 签署合同后，乙方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w:t>
      </w:r>
    </w:p>
    <w:p w14:paraId="651C0A8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.2 乙方应按照合同要求履约，充分合理安排，确保提供的货物</w:t>
      </w:r>
      <w:r>
        <w:rPr>
          <w:rFonts w:hint="eastAsia" w:ascii="宋体" w:hAnsi="宋体" w:eastAsia="宋体" w:cs="宋体"/>
          <w:color w:val="auto"/>
          <w:szCs w:val="21"/>
          <w:highlight w:val="none"/>
          <w:lang w:eastAsia="zh-CN"/>
        </w:rPr>
        <w:t>及相关</w:t>
      </w:r>
      <w:r>
        <w:rPr>
          <w:rFonts w:hint="eastAsia" w:ascii="宋体" w:hAnsi="宋体" w:eastAsia="宋体" w:cs="宋体"/>
          <w:color w:val="auto"/>
          <w:szCs w:val="21"/>
          <w:highlight w:val="none"/>
        </w:rPr>
        <w:t>服务符合合同</w:t>
      </w:r>
      <w:r>
        <w:rPr>
          <w:rFonts w:hint="eastAsia" w:ascii="宋体" w:hAnsi="宋体" w:eastAsia="宋体" w:cs="宋体"/>
          <w:color w:val="auto"/>
          <w:szCs w:val="21"/>
          <w:highlight w:val="none"/>
          <w:lang w:eastAsia="zh-CN"/>
        </w:rPr>
        <w:t>有关</w:t>
      </w:r>
      <w:r>
        <w:rPr>
          <w:rFonts w:hint="eastAsia" w:ascii="宋体" w:hAnsi="宋体" w:eastAsia="宋体" w:cs="宋体"/>
          <w:color w:val="auto"/>
          <w:szCs w:val="21"/>
          <w:highlight w:val="none"/>
        </w:rPr>
        <w:t>要求。接受项目行业管理部门及政府有关部门的指导，配合甲方的履约检查</w:t>
      </w:r>
      <w:r>
        <w:rPr>
          <w:rFonts w:hint="eastAsia" w:ascii="宋体" w:hAnsi="宋体" w:eastAsia="宋体" w:cs="宋体"/>
          <w:color w:val="auto"/>
          <w:szCs w:val="21"/>
          <w:highlight w:val="none"/>
          <w:lang w:eastAsia="zh-CN"/>
        </w:rPr>
        <w:t>及验收</w:t>
      </w:r>
      <w:r>
        <w:rPr>
          <w:rFonts w:hint="eastAsia" w:ascii="宋体" w:hAnsi="宋体" w:eastAsia="宋体" w:cs="宋体"/>
          <w:color w:val="auto"/>
          <w:szCs w:val="21"/>
          <w:highlight w:val="none"/>
        </w:rPr>
        <w:t>，并负责项目实施过程中的所有协调工作。</w:t>
      </w:r>
    </w:p>
    <w:p w14:paraId="533240B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.3乙方有权根据合同约定向甲方收取</w:t>
      </w:r>
      <w:r>
        <w:rPr>
          <w:rFonts w:hint="eastAsia" w:ascii="宋体" w:hAnsi="宋体" w:eastAsia="宋体" w:cs="宋体"/>
          <w:color w:val="auto"/>
          <w:szCs w:val="21"/>
          <w:highlight w:val="none"/>
          <w:lang w:eastAsia="zh-CN"/>
        </w:rPr>
        <w:t>合同价款</w:t>
      </w:r>
      <w:r>
        <w:rPr>
          <w:rFonts w:hint="eastAsia" w:ascii="宋体" w:hAnsi="宋体" w:eastAsia="宋体" w:cs="宋体"/>
          <w:color w:val="auto"/>
          <w:szCs w:val="21"/>
          <w:highlight w:val="none"/>
        </w:rPr>
        <w:t>。</w:t>
      </w:r>
    </w:p>
    <w:p w14:paraId="309610D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.4国家法律法规规定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由乙方承担的其他义务和责任。</w:t>
      </w:r>
    </w:p>
    <w:p w14:paraId="1C44E16C">
      <w:pPr>
        <w:numPr>
          <w:ilvl w:val="0"/>
          <w:numId w:val="9"/>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w:t>
      </w:r>
      <w:r>
        <w:rPr>
          <w:rFonts w:hint="eastAsia" w:ascii="宋体" w:hAnsi="宋体" w:eastAsia="宋体" w:cs="宋体"/>
          <w:b/>
          <w:bCs/>
          <w:color w:val="auto"/>
          <w:sz w:val="24"/>
          <w:highlight w:val="none"/>
          <w:lang w:val="en-US" w:eastAsia="zh-CN"/>
        </w:rPr>
        <w:t>行</w:t>
      </w:r>
    </w:p>
    <w:p w14:paraId="51AB428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077BE824">
      <w:pPr>
        <w:autoSpaceDE w:val="0"/>
        <w:autoSpaceDN w:val="0"/>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414F441">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7</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货物包装、运输</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w:t>
      </w:r>
      <w:r>
        <w:rPr>
          <w:rFonts w:hint="eastAsia" w:ascii="宋体" w:hAnsi="宋体" w:eastAsia="宋体" w:cs="宋体"/>
          <w:b/>
          <w:bCs/>
          <w:color w:val="auto"/>
          <w:sz w:val="24"/>
          <w:highlight w:val="none"/>
          <w:lang w:eastAsia="zh-CN"/>
        </w:rPr>
        <w:t>和交付</w:t>
      </w:r>
      <w:r>
        <w:rPr>
          <w:rFonts w:hint="eastAsia" w:ascii="宋体" w:hAnsi="宋体" w:eastAsia="宋体" w:cs="宋体"/>
          <w:b/>
          <w:bCs/>
          <w:color w:val="auto"/>
          <w:sz w:val="24"/>
          <w:highlight w:val="none"/>
        </w:rPr>
        <w:t>要求</w:t>
      </w:r>
    </w:p>
    <w:p w14:paraId="0508278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.1 本合同</w:t>
      </w:r>
      <w:r>
        <w:rPr>
          <w:rFonts w:hint="eastAsia" w:ascii="宋体" w:hAnsi="宋体" w:eastAsia="宋体" w:cs="宋体"/>
          <w:bCs/>
          <w:color w:val="auto"/>
          <w:szCs w:val="21"/>
          <w:highlight w:val="none"/>
        </w:rPr>
        <w:t>涉及商品包装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约定的</w:t>
      </w:r>
      <w:r>
        <w:rPr>
          <w:rFonts w:hint="eastAsia" w:ascii="宋体" w:hAnsi="宋体" w:eastAsia="宋体" w:cs="宋体"/>
          <w:color w:val="auto"/>
          <w:szCs w:val="21"/>
          <w:highlight w:val="none"/>
        </w:rPr>
        <w:t>指定现场。</w:t>
      </w:r>
    </w:p>
    <w:p w14:paraId="625E1B9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乙方负责办理将货物运抵本合同规定的交货地点</w:t>
      </w:r>
      <w:r>
        <w:rPr>
          <w:rFonts w:hint="eastAsia" w:ascii="宋体" w:hAnsi="宋体" w:eastAsia="宋体" w:cs="宋体"/>
          <w:color w:val="auto"/>
          <w:szCs w:val="21"/>
          <w:highlight w:val="none"/>
          <w:lang w:eastAsia="zh-CN"/>
        </w:rPr>
        <w:t>，并装卸、交付至甲方</w:t>
      </w:r>
      <w:r>
        <w:rPr>
          <w:rFonts w:hint="eastAsia" w:ascii="宋体" w:hAnsi="宋体" w:eastAsia="宋体" w:cs="宋体"/>
          <w:color w:val="auto"/>
          <w:szCs w:val="21"/>
          <w:highlight w:val="none"/>
        </w:rPr>
        <w:t>的一切运输事项，相关费用应</w:t>
      </w:r>
      <w:r>
        <w:rPr>
          <w:rFonts w:hint="eastAsia" w:ascii="宋体" w:hAnsi="宋体" w:eastAsia="宋体" w:cs="宋体"/>
          <w:color w:val="auto"/>
          <w:szCs w:val="21"/>
          <w:highlight w:val="none"/>
          <w:lang w:eastAsia="zh-CN"/>
        </w:rPr>
        <w:t>包含</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w:t>
      </w:r>
    </w:p>
    <w:p w14:paraId="039A7034">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04519F7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en-US" w:eastAsia="zh-CN"/>
        </w:rPr>
        <w:t>除采购活动</w:t>
      </w:r>
      <w:r>
        <w:rPr>
          <w:rFonts w:hint="eastAsia" w:ascii="宋体" w:hAnsi="宋体" w:eastAsia="宋体" w:cs="宋体"/>
          <w:color w:val="auto"/>
          <w:szCs w:val="21"/>
          <w:highlight w:val="none"/>
        </w:rPr>
        <w:t>对商品包装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w:t>
      </w:r>
      <w:r>
        <w:rPr>
          <w:rFonts w:hint="eastAsia" w:ascii="宋体" w:hAnsi="宋体" w:eastAsia="宋体" w:cs="宋体"/>
          <w:color w:val="auto"/>
          <w:szCs w:val="21"/>
          <w:highlight w:val="none"/>
          <w:lang w:val="en-US" w:eastAsia="zh-CN"/>
        </w:rPr>
        <w:t>达成具体约定外</w:t>
      </w:r>
      <w:r>
        <w:rPr>
          <w:rFonts w:hint="eastAsia" w:ascii="宋体" w:hAnsi="宋体" w:eastAsia="宋体" w:cs="宋体"/>
          <w:color w:val="auto"/>
          <w:szCs w:val="21"/>
          <w:highlight w:val="none"/>
        </w:rPr>
        <w:t>，乙方提供产品及相关快递服务</w:t>
      </w:r>
      <w:r>
        <w:rPr>
          <w:rFonts w:hint="eastAsia" w:ascii="宋体" w:hAnsi="宋体" w:eastAsia="宋体" w:cs="宋体"/>
          <w:color w:val="auto"/>
          <w:szCs w:val="21"/>
          <w:highlight w:val="none"/>
          <w:lang w:val="en-US" w:eastAsia="zh-CN"/>
        </w:rPr>
        <w:t>涉及到</w:t>
      </w:r>
      <w:r>
        <w:rPr>
          <w:rFonts w:hint="eastAsia" w:ascii="宋体" w:hAnsi="宋体" w:eastAsia="宋体" w:cs="宋体"/>
          <w:color w:val="auto"/>
          <w:szCs w:val="21"/>
          <w:highlight w:val="none"/>
        </w:rPr>
        <w:t>具体包装要求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rPr>
        <w:t>，并作为履约验收的内容，必要时甲方可以要求乙方在履约验收环节出具</w:t>
      </w:r>
      <w:r>
        <w:rPr>
          <w:rFonts w:hint="eastAsia" w:ascii="宋体" w:hAnsi="宋体" w:eastAsia="宋体" w:cs="宋体"/>
          <w:b/>
          <w:bCs/>
          <w:color w:val="auto"/>
          <w:szCs w:val="21"/>
          <w:highlight w:val="none"/>
        </w:rPr>
        <w:t>检测报告</w:t>
      </w:r>
      <w:r>
        <w:rPr>
          <w:rFonts w:hint="eastAsia" w:ascii="宋体" w:hAnsi="宋体" w:eastAsia="宋体" w:cs="宋体"/>
          <w:color w:val="auto"/>
          <w:szCs w:val="21"/>
          <w:highlight w:val="none"/>
        </w:rPr>
        <w:t>。</w:t>
      </w:r>
    </w:p>
    <w:p w14:paraId="3A5CFA8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337B3C75">
      <w:pPr>
        <w:pStyle w:val="101"/>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0492A0D3">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8</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质量标准和保证</w:t>
      </w:r>
    </w:p>
    <w:p w14:paraId="74EF08D4">
      <w:pPr>
        <w:pStyle w:val="12"/>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6C34A4D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合同约</w:t>
      </w:r>
      <w:r>
        <w:rPr>
          <w:rFonts w:hint="eastAsia" w:ascii="宋体" w:hAnsi="宋体" w:eastAsia="宋体" w:cs="宋体"/>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5755FDCB">
      <w:pPr>
        <w:pStyle w:val="12"/>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63464E1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0965E8C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50349E2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50B9749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2D9B5A2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1345A68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7D7CC5D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auto"/>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的违约责任</w:t>
      </w:r>
      <w:r>
        <w:rPr>
          <w:rFonts w:hint="eastAsia" w:ascii="宋体" w:hAnsi="宋体" w:eastAsia="宋体" w:cs="宋体"/>
          <w:color w:val="auto"/>
          <w:szCs w:val="21"/>
          <w:highlight w:val="none"/>
        </w:rPr>
        <w:t>。</w:t>
      </w:r>
    </w:p>
    <w:p w14:paraId="1D2F874E">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5664D24D">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权利瑕疵担保</w:t>
      </w:r>
    </w:p>
    <w:p w14:paraId="49A7818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.1 乙方保证对其出售的货物享有合法的权利。</w:t>
      </w:r>
    </w:p>
    <w:p w14:paraId="1C7D26B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691763F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.3 如甲方使用</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货物构成</w:t>
      </w:r>
      <w:r>
        <w:rPr>
          <w:rFonts w:hint="eastAsia" w:ascii="宋体" w:hAnsi="宋体" w:eastAsia="宋体" w:cs="宋体"/>
          <w:color w:val="auto"/>
          <w:szCs w:val="21"/>
          <w:highlight w:val="none"/>
          <w:lang w:val="en-US" w:eastAsia="zh-CN"/>
        </w:rPr>
        <w:t>对第三人</w:t>
      </w:r>
      <w:r>
        <w:rPr>
          <w:rFonts w:hint="eastAsia" w:ascii="宋体" w:hAnsi="宋体" w:eastAsia="宋体" w:cs="宋体"/>
          <w:color w:val="auto"/>
          <w:szCs w:val="21"/>
          <w:highlight w:val="none"/>
        </w:rPr>
        <w:t>侵权的，则由乙方承担全部责任。</w:t>
      </w:r>
    </w:p>
    <w:p w14:paraId="4AB07D23">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知识产权保护</w:t>
      </w:r>
    </w:p>
    <w:p w14:paraId="47005A3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.1 乙方对其所销售的货物应当享有知识产权或经权利人合法授权，保证没有侵犯任何第三人的知识产权等权利。</w:t>
      </w:r>
      <w:bookmarkStart w:id="21"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21"/>
      <w:r>
        <w:rPr>
          <w:rFonts w:hint="eastAsia" w:ascii="宋体" w:hAnsi="宋体" w:eastAsia="宋体" w:cs="宋体"/>
          <w:color w:val="auto"/>
          <w:szCs w:val="21"/>
          <w:highlight w:val="none"/>
        </w:rPr>
        <w:t>。</w:t>
      </w:r>
    </w:p>
    <w:p w14:paraId="3E0B0D92">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37B9061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5084A0D2">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0525D090">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0EDB87C7">
      <w:pPr>
        <w:pStyle w:val="3"/>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1E409213">
      <w:pPr>
        <w:pStyle w:val="9"/>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43BA3127">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A468BC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3DB86DDC">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6C22B715">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3303060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0CE4BCE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363F872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6C4CEF4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6DB006E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color w:val="auto"/>
          <w:szCs w:val="15"/>
          <w:highlight w:val="none"/>
          <w:lang w:eastAsia="zh-CN"/>
        </w:rPr>
        <w:t>；</w:t>
      </w:r>
    </w:p>
    <w:p w14:paraId="7126E544">
      <w:pPr>
        <w:pStyle w:val="1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7D59D59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60F1E87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38FBF7A9">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7A8FB427">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7521C23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7B378013">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292BB97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4F9F6AD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3F284BB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4039606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4775E2C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2F1DCC57">
      <w:pPr>
        <w:numPr>
          <w:ilvl w:val="0"/>
          <w:numId w:val="1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0CA35C4B">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5ECED3A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5D5C3DC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0C85700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68F69F2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4540A5BF">
      <w:pPr>
        <w:pStyle w:val="10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0F07F3D9">
      <w:pPr>
        <w:snapToGrid w:val="0"/>
        <w:spacing w:line="4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05909AB2">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6CCD2F0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6AD346A4">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宋体"/>
          <w:color w:val="auto"/>
          <w:szCs w:val="21"/>
          <w:highlight w:val="none"/>
        </w:rPr>
        <w:t>。</w:t>
      </w:r>
    </w:p>
    <w:p w14:paraId="18379A06">
      <w:pPr>
        <w:pStyle w:val="10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58DDF8F0">
      <w:pPr>
        <w:pStyle w:val="10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2F9CFAB0">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7485BC0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6861FE5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2ABBDDB4">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6E523FD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39894E3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425515D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6E2B5635">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2FA6BAA8">
      <w:pPr>
        <w:pStyle w:val="10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55792C1C">
      <w:pPr>
        <w:pStyle w:val="10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1612493">
      <w:pPr>
        <w:pStyle w:val="10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44F3DDFB">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213F14A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4026F74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color w:val="auto"/>
          <w:szCs w:val="21"/>
          <w:highlight w:val="none"/>
          <w:lang w:eastAsia="zh-CN"/>
        </w:rPr>
        <w:t>甲乙双方</w:t>
      </w:r>
      <w:r>
        <w:rPr>
          <w:rFonts w:hint="eastAsia" w:ascii="宋体" w:hAnsi="宋体" w:eastAsia="宋体" w:cs="宋体"/>
          <w:color w:val="auto"/>
          <w:szCs w:val="21"/>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298D201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CED247">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14646EEA">
      <w:pPr>
        <w:pStyle w:val="10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5FD61622">
      <w:pPr>
        <w:pStyle w:val="10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6350B944">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00E080F6">
      <w:pPr>
        <w:pStyle w:val="101"/>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7C0B2705">
      <w:pPr>
        <w:pStyle w:val="101"/>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221019BA">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2309DD9F">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7D053AFF">
      <w:pPr>
        <w:numPr>
          <w:ilvl w:val="0"/>
          <w:numId w:val="11"/>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493F3AC9">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16769C87">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22" w:name="_Toc20313"/>
    </w:p>
    <w:p w14:paraId="13ED027E">
      <w:pPr>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r>
        <w:rPr>
          <w:rFonts w:hint="eastAsia" w:ascii="宋体" w:hAnsi="宋体" w:eastAsia="宋体" w:cs="宋体"/>
          <w:b w:val="0"/>
          <w:bCs w:val="0"/>
          <w:color w:val="auto"/>
          <w:sz w:val="28"/>
          <w:szCs w:val="28"/>
          <w:highlight w:val="none"/>
        </w:rPr>
        <w:t>第三节 政府采购合同专用条款</w:t>
      </w:r>
      <w:bookmarkEnd w:id="22"/>
    </w:p>
    <w:tbl>
      <w:tblPr>
        <w:tblStyle w:val="33"/>
        <w:tblW w:w="98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2"/>
        <w:gridCol w:w="2008"/>
        <w:gridCol w:w="5959"/>
      </w:tblGrid>
      <w:tr w14:paraId="1934C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852" w:type="dxa"/>
            <w:noWrap w:val="0"/>
            <w:vAlign w:val="center"/>
          </w:tcPr>
          <w:p w14:paraId="7488F5C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61D9FC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2008" w:type="dxa"/>
            <w:noWrap w:val="0"/>
            <w:vAlign w:val="center"/>
          </w:tcPr>
          <w:p w14:paraId="3CB3903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5959" w:type="dxa"/>
            <w:noWrap w:val="0"/>
            <w:vAlign w:val="center"/>
          </w:tcPr>
          <w:p w14:paraId="14211742">
            <w:pPr>
              <w:adjustRightInd w:val="0"/>
              <w:snapToGrid w:val="0"/>
              <w:jc w:val="left"/>
              <w:rPr>
                <w:rFonts w:hint="eastAsia" w:ascii="宋体" w:hAnsi="宋体" w:eastAsia="宋体" w:cs="宋体"/>
                <w:color w:val="auto"/>
                <w:szCs w:val="21"/>
                <w:highlight w:val="none"/>
              </w:rPr>
            </w:pPr>
          </w:p>
        </w:tc>
      </w:tr>
      <w:tr w14:paraId="5F456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852" w:type="dxa"/>
            <w:noWrap w:val="0"/>
            <w:vAlign w:val="center"/>
          </w:tcPr>
          <w:p w14:paraId="4E59A9B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48649A4">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2008" w:type="dxa"/>
            <w:noWrap w:val="0"/>
            <w:vAlign w:val="center"/>
          </w:tcPr>
          <w:p w14:paraId="69541E53">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5959" w:type="dxa"/>
            <w:noWrap w:val="0"/>
            <w:vAlign w:val="center"/>
          </w:tcPr>
          <w:p w14:paraId="71F0E7EB">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537A32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1852" w:type="dxa"/>
            <w:noWrap w:val="0"/>
            <w:vAlign w:val="center"/>
          </w:tcPr>
          <w:p w14:paraId="02D496B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D8D4A6D">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2008" w:type="dxa"/>
            <w:noWrap w:val="0"/>
            <w:vAlign w:val="center"/>
          </w:tcPr>
          <w:p w14:paraId="03B6F548">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5959" w:type="dxa"/>
            <w:noWrap w:val="0"/>
            <w:vAlign w:val="center"/>
          </w:tcPr>
          <w:p w14:paraId="25D90BB0">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B4719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5CAD7E2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BF930C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2008" w:type="dxa"/>
            <w:noWrap w:val="0"/>
            <w:vAlign w:val="center"/>
          </w:tcPr>
          <w:p w14:paraId="6F8A94C4">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5959" w:type="dxa"/>
            <w:noWrap w:val="0"/>
            <w:vAlign w:val="center"/>
          </w:tcPr>
          <w:p w14:paraId="67238619">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7E4CE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62B5663D">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25354183">
            <w:pPr>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5.4款</w:t>
            </w:r>
          </w:p>
        </w:tc>
        <w:tc>
          <w:tcPr>
            <w:tcW w:w="2008" w:type="dxa"/>
            <w:noWrap w:val="0"/>
            <w:vAlign w:val="center"/>
          </w:tcPr>
          <w:p w14:paraId="1B754A76">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5959" w:type="dxa"/>
            <w:noWrap w:val="0"/>
            <w:vAlign w:val="center"/>
          </w:tcPr>
          <w:p w14:paraId="10412A0E">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03D468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35C5025E">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08BFF70E">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6.1款</w:t>
            </w:r>
          </w:p>
        </w:tc>
        <w:tc>
          <w:tcPr>
            <w:tcW w:w="2008" w:type="dxa"/>
            <w:noWrap w:val="0"/>
            <w:vAlign w:val="center"/>
          </w:tcPr>
          <w:p w14:paraId="631199E4">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5959" w:type="dxa"/>
            <w:noWrap w:val="0"/>
            <w:vAlign w:val="center"/>
          </w:tcPr>
          <w:p w14:paraId="0D082292">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10003E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852" w:type="dxa"/>
            <w:vMerge w:val="restart"/>
            <w:noWrap w:val="0"/>
            <w:vAlign w:val="center"/>
          </w:tcPr>
          <w:p w14:paraId="7679878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4DBDF6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2008" w:type="dxa"/>
            <w:noWrap w:val="0"/>
            <w:vAlign w:val="center"/>
          </w:tcPr>
          <w:p w14:paraId="0FFEAE4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5959" w:type="dxa"/>
            <w:noWrap w:val="0"/>
            <w:vAlign w:val="center"/>
          </w:tcPr>
          <w:p w14:paraId="20408BF6">
            <w:pPr>
              <w:rPr>
                <w:rFonts w:hint="eastAsia" w:ascii="宋体" w:hAnsi="宋体" w:eastAsia="宋体" w:cs="宋体"/>
                <w:color w:val="auto"/>
                <w:highlight w:val="none"/>
              </w:rPr>
            </w:pPr>
          </w:p>
        </w:tc>
      </w:tr>
      <w:tr w14:paraId="5DFDD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852" w:type="dxa"/>
            <w:vMerge w:val="continue"/>
            <w:noWrap w:val="0"/>
            <w:vAlign w:val="center"/>
          </w:tcPr>
          <w:p w14:paraId="6BFCFE68">
            <w:pPr>
              <w:adjustRightInd w:val="0"/>
              <w:snapToGrid w:val="0"/>
              <w:jc w:val="center"/>
              <w:rPr>
                <w:rFonts w:hint="eastAsia" w:ascii="宋体" w:hAnsi="宋体" w:eastAsia="宋体" w:cs="宋体"/>
                <w:color w:val="auto"/>
                <w:szCs w:val="21"/>
                <w:highlight w:val="none"/>
              </w:rPr>
            </w:pPr>
          </w:p>
        </w:tc>
        <w:tc>
          <w:tcPr>
            <w:tcW w:w="2008" w:type="dxa"/>
            <w:noWrap w:val="0"/>
            <w:vAlign w:val="center"/>
          </w:tcPr>
          <w:p w14:paraId="119DB624">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5959" w:type="dxa"/>
            <w:noWrap w:val="0"/>
            <w:vAlign w:val="center"/>
          </w:tcPr>
          <w:p w14:paraId="1DECBC00">
            <w:pPr>
              <w:rPr>
                <w:rFonts w:hint="eastAsia" w:ascii="宋体" w:hAnsi="宋体" w:eastAsia="宋体" w:cs="宋体"/>
                <w:color w:val="auto"/>
                <w:highlight w:val="none"/>
              </w:rPr>
            </w:pPr>
          </w:p>
        </w:tc>
      </w:tr>
      <w:tr w14:paraId="24737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852" w:type="dxa"/>
            <w:noWrap w:val="0"/>
            <w:vAlign w:val="center"/>
          </w:tcPr>
          <w:p w14:paraId="0A0761E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56CDDD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2008" w:type="dxa"/>
            <w:noWrap w:val="0"/>
            <w:vAlign w:val="center"/>
          </w:tcPr>
          <w:p w14:paraId="1E3B1A36">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5959" w:type="dxa"/>
            <w:noWrap w:val="0"/>
            <w:vAlign w:val="center"/>
          </w:tcPr>
          <w:p w14:paraId="4B8D52B2">
            <w:pPr>
              <w:rPr>
                <w:rFonts w:hint="eastAsia" w:ascii="宋体" w:hAnsi="宋体" w:eastAsia="宋体" w:cs="宋体"/>
                <w:color w:val="auto"/>
                <w:highlight w:val="none"/>
              </w:rPr>
            </w:pPr>
          </w:p>
        </w:tc>
      </w:tr>
      <w:tr w14:paraId="68225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852" w:type="dxa"/>
            <w:noWrap w:val="0"/>
            <w:vAlign w:val="center"/>
          </w:tcPr>
          <w:p w14:paraId="731877F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2D93C5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2008" w:type="dxa"/>
            <w:noWrap w:val="0"/>
            <w:vAlign w:val="center"/>
          </w:tcPr>
          <w:p w14:paraId="675906C9">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5959" w:type="dxa"/>
            <w:noWrap w:val="0"/>
            <w:vAlign w:val="center"/>
          </w:tcPr>
          <w:p w14:paraId="712BD2C0">
            <w:pPr>
              <w:rPr>
                <w:rFonts w:hint="eastAsia" w:ascii="宋体" w:hAnsi="宋体" w:eastAsia="宋体" w:cs="宋体"/>
                <w:color w:val="auto"/>
                <w:highlight w:val="none"/>
              </w:rPr>
            </w:pPr>
          </w:p>
        </w:tc>
      </w:tr>
      <w:tr w14:paraId="0EEF6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2BEB9C4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2E7A83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2008" w:type="dxa"/>
            <w:noWrap w:val="0"/>
            <w:vAlign w:val="center"/>
          </w:tcPr>
          <w:p w14:paraId="57F8E6C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959" w:type="dxa"/>
            <w:noWrap w:val="0"/>
            <w:vAlign w:val="center"/>
          </w:tcPr>
          <w:p w14:paraId="28ED6B92">
            <w:pPr>
              <w:autoSpaceDE w:val="0"/>
              <w:autoSpaceDN w:val="0"/>
              <w:adjustRightInd w:val="0"/>
              <w:snapToGrid w:val="0"/>
              <w:ind w:firstLine="420" w:firstLineChars="200"/>
              <w:jc w:val="left"/>
              <w:rPr>
                <w:rFonts w:hint="eastAsia" w:ascii="宋体" w:hAnsi="宋体" w:eastAsia="宋体" w:cs="宋体"/>
                <w:color w:val="auto"/>
                <w:szCs w:val="21"/>
                <w:highlight w:val="none"/>
              </w:rPr>
            </w:pPr>
          </w:p>
        </w:tc>
      </w:tr>
      <w:tr w14:paraId="610568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26A01E6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3CA98F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2008" w:type="dxa"/>
            <w:noWrap w:val="0"/>
            <w:vAlign w:val="center"/>
          </w:tcPr>
          <w:p w14:paraId="1E99BCD1">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货物质量缺陷</w:t>
            </w:r>
          </w:p>
          <w:p w14:paraId="19A0C79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959" w:type="dxa"/>
            <w:noWrap w:val="0"/>
            <w:vAlign w:val="center"/>
          </w:tcPr>
          <w:p w14:paraId="2050A879">
            <w:pPr>
              <w:adjustRightInd w:val="0"/>
              <w:snapToGrid w:val="0"/>
              <w:jc w:val="left"/>
              <w:rPr>
                <w:rFonts w:hint="eastAsia" w:ascii="宋体" w:hAnsi="宋体" w:eastAsia="宋体" w:cs="宋体"/>
                <w:color w:val="auto"/>
                <w:szCs w:val="21"/>
                <w:highlight w:val="none"/>
              </w:rPr>
            </w:pPr>
          </w:p>
        </w:tc>
      </w:tr>
      <w:tr w14:paraId="128663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7840401C">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14:paraId="538D745E">
            <w:pPr>
              <w:pStyle w:val="101"/>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008" w:type="dxa"/>
            <w:noWrap w:val="0"/>
            <w:vAlign w:val="center"/>
          </w:tcPr>
          <w:p w14:paraId="5FBB8D23">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5959" w:type="dxa"/>
            <w:noWrap w:val="0"/>
            <w:vAlign w:val="center"/>
          </w:tcPr>
          <w:p w14:paraId="424DCA7C">
            <w:pPr>
              <w:adjustRightInd w:val="0"/>
              <w:snapToGrid w:val="0"/>
              <w:jc w:val="left"/>
              <w:rPr>
                <w:rFonts w:hint="eastAsia" w:ascii="宋体" w:hAnsi="宋体" w:eastAsia="宋体" w:cs="宋体"/>
                <w:color w:val="auto"/>
                <w:szCs w:val="21"/>
                <w:highlight w:val="none"/>
              </w:rPr>
            </w:pPr>
          </w:p>
        </w:tc>
      </w:tr>
      <w:tr w14:paraId="4162EF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852" w:type="dxa"/>
            <w:noWrap w:val="0"/>
            <w:vAlign w:val="center"/>
          </w:tcPr>
          <w:p w14:paraId="2543B88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92477E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2008" w:type="dxa"/>
            <w:noWrap w:val="0"/>
            <w:vAlign w:val="center"/>
          </w:tcPr>
          <w:p w14:paraId="3EA62D0D">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5959" w:type="dxa"/>
            <w:noWrap w:val="0"/>
            <w:vAlign w:val="center"/>
          </w:tcPr>
          <w:p w14:paraId="7E5A3FAD">
            <w:pPr>
              <w:adjustRightInd w:val="0"/>
              <w:snapToGrid w:val="0"/>
              <w:jc w:val="left"/>
              <w:rPr>
                <w:rFonts w:hint="eastAsia" w:ascii="宋体" w:hAnsi="宋体" w:eastAsia="宋体" w:cs="宋体"/>
                <w:color w:val="auto"/>
                <w:szCs w:val="21"/>
                <w:highlight w:val="none"/>
              </w:rPr>
            </w:pPr>
          </w:p>
        </w:tc>
      </w:tr>
      <w:tr w14:paraId="38CEE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852" w:type="dxa"/>
            <w:noWrap w:val="0"/>
            <w:vAlign w:val="center"/>
          </w:tcPr>
          <w:p w14:paraId="4806211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829CF7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2008" w:type="dxa"/>
            <w:noWrap w:val="0"/>
            <w:vAlign w:val="center"/>
          </w:tcPr>
          <w:p w14:paraId="49C611F8">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5959" w:type="dxa"/>
            <w:noWrap w:val="0"/>
            <w:vAlign w:val="center"/>
          </w:tcPr>
          <w:p w14:paraId="57B015FE">
            <w:pPr>
              <w:adjustRightInd w:val="0"/>
              <w:snapToGrid w:val="0"/>
              <w:jc w:val="left"/>
              <w:rPr>
                <w:rFonts w:hint="eastAsia" w:ascii="宋体" w:hAnsi="宋体" w:eastAsia="宋体" w:cs="宋体"/>
                <w:color w:val="auto"/>
                <w:szCs w:val="21"/>
                <w:highlight w:val="none"/>
              </w:rPr>
            </w:pPr>
          </w:p>
        </w:tc>
      </w:tr>
      <w:tr w14:paraId="28D8F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1852" w:type="dxa"/>
            <w:noWrap w:val="0"/>
            <w:vAlign w:val="center"/>
          </w:tcPr>
          <w:p w14:paraId="25FD399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1ACB6D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2008" w:type="dxa"/>
            <w:noWrap w:val="0"/>
            <w:vAlign w:val="center"/>
          </w:tcPr>
          <w:p w14:paraId="6B333B2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5959" w:type="dxa"/>
            <w:noWrap w:val="0"/>
            <w:vAlign w:val="center"/>
          </w:tcPr>
          <w:p w14:paraId="0DEDC934">
            <w:pPr>
              <w:adjustRightInd w:val="0"/>
              <w:snapToGrid w:val="0"/>
              <w:jc w:val="left"/>
              <w:rPr>
                <w:rFonts w:hint="eastAsia" w:ascii="宋体" w:hAnsi="宋体" w:eastAsia="宋体" w:cs="宋体"/>
                <w:color w:val="auto"/>
                <w:szCs w:val="21"/>
                <w:highlight w:val="none"/>
              </w:rPr>
            </w:pPr>
          </w:p>
        </w:tc>
      </w:tr>
      <w:tr w14:paraId="5DB11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1852" w:type="dxa"/>
            <w:noWrap w:val="0"/>
            <w:vAlign w:val="center"/>
          </w:tcPr>
          <w:p w14:paraId="4514F82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939DA4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2008" w:type="dxa"/>
            <w:noWrap w:val="0"/>
            <w:vAlign w:val="center"/>
          </w:tcPr>
          <w:p w14:paraId="4271B950">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5959" w:type="dxa"/>
            <w:noWrap w:val="0"/>
            <w:vAlign w:val="center"/>
          </w:tcPr>
          <w:p w14:paraId="131EBC73">
            <w:pPr>
              <w:adjustRightInd w:val="0"/>
              <w:snapToGrid w:val="0"/>
              <w:jc w:val="left"/>
              <w:rPr>
                <w:rFonts w:hint="eastAsia" w:ascii="宋体" w:hAnsi="宋体" w:eastAsia="宋体" w:cs="宋体"/>
                <w:color w:val="auto"/>
                <w:szCs w:val="21"/>
                <w:highlight w:val="none"/>
              </w:rPr>
            </w:pPr>
          </w:p>
        </w:tc>
      </w:tr>
      <w:tr w14:paraId="382A7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852" w:type="dxa"/>
            <w:noWrap w:val="0"/>
            <w:vAlign w:val="center"/>
          </w:tcPr>
          <w:p w14:paraId="2914316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5DE868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2008" w:type="dxa"/>
            <w:noWrap w:val="0"/>
            <w:vAlign w:val="center"/>
          </w:tcPr>
          <w:p w14:paraId="4F3920CA">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5959" w:type="dxa"/>
            <w:noWrap w:val="0"/>
            <w:vAlign w:val="center"/>
          </w:tcPr>
          <w:p w14:paraId="7171046D">
            <w:pPr>
              <w:adjustRightInd w:val="0"/>
              <w:snapToGrid w:val="0"/>
              <w:jc w:val="left"/>
              <w:rPr>
                <w:rFonts w:hint="eastAsia" w:ascii="宋体" w:hAnsi="宋体" w:eastAsia="宋体" w:cs="宋体"/>
                <w:color w:val="auto"/>
                <w:szCs w:val="21"/>
                <w:highlight w:val="none"/>
              </w:rPr>
            </w:pPr>
          </w:p>
        </w:tc>
      </w:tr>
      <w:tr w14:paraId="6C41B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2D2F7F5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55AF8E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2008" w:type="dxa"/>
            <w:noWrap w:val="0"/>
            <w:vAlign w:val="center"/>
          </w:tcPr>
          <w:p w14:paraId="686B6B5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959" w:type="dxa"/>
            <w:noWrap w:val="0"/>
            <w:vAlign w:val="center"/>
          </w:tcPr>
          <w:p w14:paraId="13D07A57">
            <w:pPr>
              <w:adjustRightInd w:val="0"/>
              <w:snapToGrid w:val="0"/>
              <w:jc w:val="left"/>
              <w:rPr>
                <w:rFonts w:hint="eastAsia" w:ascii="宋体" w:hAnsi="宋体" w:eastAsia="宋体" w:cs="宋体"/>
                <w:color w:val="auto"/>
                <w:szCs w:val="21"/>
                <w:highlight w:val="none"/>
              </w:rPr>
            </w:pPr>
          </w:p>
        </w:tc>
      </w:tr>
      <w:tr w14:paraId="488EE8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2F755D7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50F40F9">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2008" w:type="dxa"/>
            <w:noWrap w:val="0"/>
            <w:vAlign w:val="center"/>
          </w:tcPr>
          <w:p w14:paraId="53D3403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修理、重作、更换相关具体规定</w:t>
            </w:r>
          </w:p>
        </w:tc>
        <w:tc>
          <w:tcPr>
            <w:tcW w:w="5959" w:type="dxa"/>
            <w:noWrap w:val="0"/>
            <w:vAlign w:val="center"/>
          </w:tcPr>
          <w:p w14:paraId="1E453F9D">
            <w:pPr>
              <w:adjustRightInd w:val="0"/>
              <w:snapToGrid w:val="0"/>
              <w:jc w:val="left"/>
              <w:rPr>
                <w:rFonts w:hint="eastAsia" w:ascii="宋体" w:hAnsi="宋体" w:eastAsia="宋体" w:cs="宋体"/>
                <w:color w:val="auto"/>
                <w:szCs w:val="21"/>
                <w:highlight w:val="none"/>
              </w:rPr>
            </w:pPr>
          </w:p>
        </w:tc>
      </w:tr>
      <w:tr w14:paraId="14C27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4BADD90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656B1A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.2（2）项</w:t>
            </w:r>
          </w:p>
        </w:tc>
        <w:tc>
          <w:tcPr>
            <w:tcW w:w="2008" w:type="dxa"/>
            <w:noWrap w:val="0"/>
            <w:vAlign w:val="center"/>
          </w:tcPr>
          <w:p w14:paraId="101B11E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959" w:type="dxa"/>
            <w:noWrap w:val="0"/>
            <w:vAlign w:val="center"/>
          </w:tcPr>
          <w:p w14:paraId="1F6E534F">
            <w:pPr>
              <w:adjustRightInd w:val="0"/>
              <w:snapToGrid w:val="0"/>
              <w:jc w:val="left"/>
              <w:rPr>
                <w:rFonts w:hint="eastAsia" w:ascii="宋体" w:hAnsi="宋体" w:eastAsia="宋体" w:cs="宋体"/>
                <w:color w:val="auto"/>
                <w:szCs w:val="21"/>
                <w:highlight w:val="none"/>
                <w:u w:val="single"/>
              </w:rPr>
            </w:pPr>
          </w:p>
        </w:tc>
      </w:tr>
      <w:tr w14:paraId="56B7F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1852" w:type="dxa"/>
            <w:noWrap w:val="0"/>
            <w:vAlign w:val="center"/>
          </w:tcPr>
          <w:p w14:paraId="7DE8617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CE98F6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3款</w:t>
            </w:r>
          </w:p>
        </w:tc>
        <w:tc>
          <w:tcPr>
            <w:tcW w:w="2008" w:type="dxa"/>
            <w:noWrap w:val="0"/>
            <w:vAlign w:val="center"/>
          </w:tcPr>
          <w:p w14:paraId="71AB140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959" w:type="dxa"/>
            <w:noWrap w:val="0"/>
            <w:vAlign w:val="center"/>
          </w:tcPr>
          <w:p w14:paraId="4D676ED5">
            <w:pPr>
              <w:adjustRightInd w:val="0"/>
              <w:snapToGrid w:val="0"/>
              <w:jc w:val="left"/>
              <w:rPr>
                <w:rFonts w:hint="eastAsia" w:ascii="宋体" w:hAnsi="宋体" w:eastAsia="宋体" w:cs="宋体"/>
                <w:color w:val="auto"/>
                <w:szCs w:val="21"/>
                <w:highlight w:val="none"/>
                <w:u w:val="single"/>
              </w:rPr>
            </w:pPr>
          </w:p>
        </w:tc>
      </w:tr>
      <w:tr w14:paraId="7D2B36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852" w:type="dxa"/>
            <w:tcBorders>
              <w:bottom w:val="single" w:color="auto" w:sz="2" w:space="0"/>
              <w:right w:val="single" w:color="auto" w:sz="2" w:space="0"/>
            </w:tcBorders>
            <w:noWrap w:val="0"/>
            <w:vAlign w:val="center"/>
          </w:tcPr>
          <w:p w14:paraId="6C0EF0C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980F7B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款</w:t>
            </w:r>
          </w:p>
        </w:tc>
        <w:tc>
          <w:tcPr>
            <w:tcW w:w="2008" w:type="dxa"/>
            <w:tcBorders>
              <w:left w:val="single" w:color="auto" w:sz="2" w:space="0"/>
              <w:bottom w:val="single" w:color="auto" w:sz="2" w:space="0"/>
              <w:right w:val="single" w:color="auto" w:sz="2" w:space="0"/>
            </w:tcBorders>
            <w:noWrap w:val="0"/>
            <w:vAlign w:val="center"/>
          </w:tcPr>
          <w:p w14:paraId="2E7A279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959" w:type="dxa"/>
            <w:tcBorders>
              <w:left w:val="single" w:color="auto" w:sz="2" w:space="0"/>
              <w:bottom w:val="single" w:color="auto" w:sz="2" w:space="0"/>
            </w:tcBorders>
            <w:noWrap w:val="0"/>
            <w:vAlign w:val="center"/>
          </w:tcPr>
          <w:p w14:paraId="17A4FBA5">
            <w:pPr>
              <w:adjustRightInd w:val="0"/>
              <w:snapToGrid w:val="0"/>
              <w:jc w:val="left"/>
              <w:rPr>
                <w:rFonts w:hint="eastAsia" w:ascii="宋体" w:hAnsi="宋体" w:eastAsia="宋体" w:cs="宋体"/>
                <w:color w:val="auto"/>
                <w:szCs w:val="21"/>
                <w:highlight w:val="none"/>
                <w:u w:val="single"/>
              </w:rPr>
            </w:pPr>
          </w:p>
        </w:tc>
      </w:tr>
      <w:tr w14:paraId="37284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8" w:hRule="atLeast"/>
        </w:trPr>
        <w:tc>
          <w:tcPr>
            <w:tcW w:w="1852" w:type="dxa"/>
            <w:tcBorders>
              <w:top w:val="single" w:color="auto" w:sz="2" w:space="0"/>
              <w:right w:val="single" w:color="auto" w:sz="2" w:space="0"/>
            </w:tcBorders>
            <w:noWrap w:val="0"/>
            <w:vAlign w:val="center"/>
          </w:tcPr>
          <w:p w14:paraId="4C15AE0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C46E44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2008" w:type="dxa"/>
            <w:tcBorders>
              <w:top w:val="single" w:color="auto" w:sz="2" w:space="0"/>
              <w:left w:val="single" w:color="auto" w:sz="2" w:space="0"/>
              <w:right w:val="single" w:color="auto" w:sz="2" w:space="0"/>
            </w:tcBorders>
            <w:noWrap w:val="0"/>
            <w:vAlign w:val="center"/>
          </w:tcPr>
          <w:p w14:paraId="031B842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5959" w:type="dxa"/>
            <w:tcBorders>
              <w:top w:val="single" w:color="auto" w:sz="2" w:space="0"/>
              <w:left w:val="single" w:color="auto" w:sz="2" w:space="0"/>
            </w:tcBorders>
            <w:noWrap w:val="0"/>
            <w:vAlign w:val="center"/>
          </w:tcPr>
          <w:p w14:paraId="6278745D">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0BAE51E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66C1788">
            <w:pPr>
              <w:adjustRightInd w:val="0"/>
              <w:snapToGrid w:val="0"/>
              <w:ind w:firstLine="0" w:firstLineChars="0"/>
              <w:jc w:val="left"/>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736BF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1852" w:type="dxa"/>
            <w:noWrap w:val="0"/>
            <w:vAlign w:val="center"/>
          </w:tcPr>
          <w:p w14:paraId="65F5ED8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750680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2008" w:type="dxa"/>
            <w:noWrap w:val="0"/>
            <w:vAlign w:val="center"/>
          </w:tcPr>
          <w:p w14:paraId="254DFB5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5959" w:type="dxa"/>
            <w:noWrap w:val="0"/>
            <w:vAlign w:val="center"/>
          </w:tcPr>
          <w:p w14:paraId="0945ABB2">
            <w:pPr>
              <w:adjustRightInd w:val="0"/>
              <w:snapToGrid w:val="0"/>
              <w:jc w:val="left"/>
              <w:rPr>
                <w:rFonts w:hint="eastAsia" w:ascii="宋体" w:hAnsi="宋体" w:eastAsia="宋体" w:cs="宋体"/>
                <w:color w:val="auto"/>
                <w:szCs w:val="21"/>
                <w:highlight w:val="none"/>
                <w:lang w:val="en-US" w:eastAsia="zh-CN"/>
              </w:rPr>
            </w:pPr>
          </w:p>
        </w:tc>
      </w:tr>
    </w:tbl>
    <w:p w14:paraId="50917FBD">
      <w:pPr>
        <w:rPr>
          <w:rFonts w:hint="eastAsia" w:ascii="宋体" w:hAnsi="宋体" w:eastAsia="宋体" w:cs="宋体"/>
          <w:color w:val="auto"/>
          <w:highlight w:val="none"/>
        </w:rPr>
      </w:pPr>
    </w:p>
    <w:p w14:paraId="2FD2EE34">
      <w:pPr>
        <w:rPr>
          <w:rFonts w:hint="eastAsia" w:ascii="宋体" w:hAnsi="宋体" w:eastAsia="宋体" w:cs="宋体"/>
          <w:color w:val="auto"/>
          <w:highlight w:val="none"/>
        </w:rPr>
      </w:pPr>
    </w:p>
    <w:p w14:paraId="26C650B7">
      <w:pPr>
        <w:numPr>
          <w:ilvl w:val="0"/>
          <w:numId w:val="12"/>
        </w:numPr>
        <w:autoSpaceDE w:val="0"/>
        <w:autoSpaceDN w:val="0"/>
        <w:adjustRightInd w:val="0"/>
        <w:jc w:val="left"/>
        <w:rPr>
          <w:rFonts w:hint="eastAsia" w:ascii="宋体" w:hAnsi="宋体" w:eastAsia="宋体" w:cs="宋体"/>
          <w:color w:val="auto"/>
          <w:sz w:val="36"/>
          <w:szCs w:val="36"/>
          <w:highlight w:val="none"/>
        </w:rPr>
      </w:pPr>
      <w:r>
        <w:rPr>
          <w:rFonts w:hint="eastAsia" w:ascii="宋体" w:hAnsi="宋体" w:eastAsia="宋体" w:cs="宋体"/>
          <w:color w:val="auto"/>
          <w:sz w:val="24"/>
          <w:highlight w:val="none"/>
          <w:lang w:val="zh-CN"/>
        </w:rPr>
        <w:br w:type="page"/>
      </w:r>
      <w:bookmarkStart w:id="23" w:name="_Toc11818"/>
      <w:bookmarkStart w:id="24" w:name="_Toc238185766"/>
      <w:r>
        <w:rPr>
          <w:rStyle w:val="51"/>
          <w:rFonts w:hint="eastAsia"/>
          <w:color w:val="auto"/>
          <w:sz w:val="36"/>
          <w:szCs w:val="36"/>
          <w:lang w:val="zh-CN"/>
        </w:rPr>
        <w:t>采购需求及技术规格要求</w:t>
      </w:r>
      <w:bookmarkEnd w:id="23"/>
      <w:r>
        <w:rPr>
          <w:rFonts w:hint="eastAsia" w:ascii="宋体" w:hAnsi="宋体" w:eastAsia="宋体" w:cs="宋体"/>
          <w:color w:val="auto"/>
          <w:sz w:val="36"/>
          <w:szCs w:val="36"/>
          <w:highlight w:val="none"/>
        </w:rPr>
        <w:t xml:space="preserve"> </w:t>
      </w:r>
    </w:p>
    <w:p w14:paraId="44630C8B">
      <w:pPr>
        <w:widowControl w:val="0"/>
        <w:numPr>
          <w:ilvl w:val="0"/>
          <w:numId w:val="0"/>
        </w:numPr>
        <w:autoSpaceDE w:val="0"/>
        <w:autoSpaceDN w:val="0"/>
        <w:adjustRightInd w:val="0"/>
        <w:jc w:val="left"/>
        <w:rPr>
          <w:rFonts w:hint="eastAsia" w:ascii="宋体" w:hAnsi="宋体" w:eastAsia="宋体" w:cs="宋体"/>
          <w:color w:val="auto"/>
          <w:sz w:val="36"/>
          <w:szCs w:val="36"/>
          <w:highlight w:val="none"/>
          <w:lang w:val="zh-CN"/>
        </w:rPr>
      </w:pPr>
    </w:p>
    <w:p w14:paraId="76E7B0E7">
      <w:pPr>
        <w:numPr>
          <w:ilvl w:val="0"/>
          <w:numId w:val="0"/>
        </w:numPr>
        <w:bidi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一标段</w:t>
      </w:r>
      <w:r>
        <w:rPr>
          <w:rFonts w:hint="eastAsia" w:ascii="宋体" w:hAnsi="宋体" w:eastAsia="宋体" w:cs="宋体"/>
          <w:b/>
          <w:color w:val="auto"/>
          <w:sz w:val="21"/>
          <w:szCs w:val="21"/>
          <w:highlight w:val="none"/>
          <w:lang w:eastAsia="zh-CN"/>
        </w:rPr>
        <w:t>技术规格要求</w:t>
      </w:r>
    </w:p>
    <w:p w14:paraId="7D94CE88">
      <w:pPr>
        <w:ind w:right="-286" w:rightChars="-136" w:firstLine="480"/>
        <w:jc w:val="left"/>
        <w:rPr>
          <w:rFonts w:hint="eastAsia" w:ascii="宋体" w:hAnsi="宋体" w:eastAsia="宋体" w:cs="宋体"/>
          <w:b/>
          <w:bCs/>
          <w:color w:val="000000"/>
          <w:sz w:val="21"/>
          <w:szCs w:val="21"/>
          <w:lang w:val="zh-CN"/>
        </w:rPr>
      </w:pPr>
      <w:r>
        <w:rPr>
          <w:rFonts w:hint="eastAsia" w:ascii="宋体" w:hAnsi="宋体" w:eastAsia="宋体" w:cs="宋体"/>
          <w:b/>
          <w:sz w:val="21"/>
          <w:szCs w:val="21"/>
          <w:lang w:val="zh-CN"/>
        </w:rPr>
        <w:t>采购项目预算或最高限价：</w:t>
      </w:r>
      <w:r>
        <w:rPr>
          <w:rFonts w:hint="eastAsia" w:ascii="宋体" w:hAnsi="宋体" w:eastAsia="宋体" w:cs="宋体"/>
          <w:b/>
          <w:sz w:val="21"/>
          <w:szCs w:val="21"/>
          <w:lang w:val="en-US" w:eastAsia="zh-CN"/>
        </w:rPr>
        <w:t>835.9</w:t>
      </w:r>
      <w:r>
        <w:rPr>
          <w:rFonts w:hint="eastAsia" w:ascii="宋体" w:hAnsi="宋体" w:eastAsia="宋体" w:cs="宋体"/>
          <w:b/>
          <w:sz w:val="21"/>
          <w:szCs w:val="21"/>
          <w:lang w:val="zh-CN"/>
        </w:rPr>
        <w:t>万元</w:t>
      </w:r>
      <w:r>
        <w:rPr>
          <w:rFonts w:hint="eastAsia" w:ascii="宋体" w:hAnsi="宋体" w:eastAsia="宋体" w:cs="宋体"/>
          <w:b/>
          <w:bCs/>
          <w:color w:val="000000"/>
          <w:sz w:val="21"/>
          <w:szCs w:val="21"/>
          <w:lang w:val="zh-CN"/>
        </w:rPr>
        <w:t>（采购人不接受超过采购项目预算的投标）</w:t>
      </w:r>
    </w:p>
    <w:tbl>
      <w:tblPr>
        <w:tblStyle w:val="33"/>
        <w:tblW w:w="8930" w:type="dxa"/>
        <w:tblInd w:w="0" w:type="dxa"/>
        <w:tblLayout w:type="fixed"/>
        <w:tblCellMar>
          <w:top w:w="0" w:type="dxa"/>
          <w:left w:w="10" w:type="dxa"/>
          <w:bottom w:w="0" w:type="dxa"/>
          <w:right w:w="10" w:type="dxa"/>
        </w:tblCellMar>
      </w:tblPr>
      <w:tblGrid>
        <w:gridCol w:w="708"/>
        <w:gridCol w:w="1418"/>
        <w:gridCol w:w="5386"/>
        <w:gridCol w:w="709"/>
        <w:gridCol w:w="709"/>
      </w:tblGrid>
      <w:tr w14:paraId="363D1D7D">
        <w:tblPrEx>
          <w:tblCellMar>
            <w:top w:w="0" w:type="dxa"/>
            <w:left w:w="10" w:type="dxa"/>
            <w:bottom w:w="0" w:type="dxa"/>
            <w:right w:w="10" w:type="dxa"/>
          </w:tblCellMar>
        </w:tblPrEx>
        <w:trPr>
          <w:trHeight w:val="495" w:hRule="atLeast"/>
        </w:trPr>
        <w:tc>
          <w:tcPr>
            <w:tcW w:w="708" w:type="dxa"/>
            <w:tcBorders>
              <w:top w:val="single" w:color="auto" w:sz="6" w:space="0"/>
              <w:left w:val="single" w:color="auto" w:sz="6" w:space="0"/>
              <w:bottom w:val="single" w:color="auto" w:sz="6" w:space="0"/>
              <w:right w:val="single" w:color="auto" w:sz="6" w:space="0"/>
            </w:tcBorders>
            <w:vAlign w:val="center"/>
          </w:tcPr>
          <w:p w14:paraId="663E530C">
            <w:pPr>
              <w:pStyle w:val="92"/>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序号</w:t>
            </w:r>
          </w:p>
        </w:tc>
        <w:tc>
          <w:tcPr>
            <w:tcW w:w="1418" w:type="dxa"/>
            <w:tcBorders>
              <w:top w:val="single" w:color="auto" w:sz="6" w:space="0"/>
              <w:left w:val="nil"/>
              <w:bottom w:val="single" w:color="auto" w:sz="6" w:space="0"/>
              <w:right w:val="single" w:color="auto" w:sz="6" w:space="0"/>
            </w:tcBorders>
            <w:vAlign w:val="center"/>
          </w:tcPr>
          <w:p w14:paraId="57FA6F09">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货物名称</w:t>
            </w:r>
          </w:p>
        </w:tc>
        <w:tc>
          <w:tcPr>
            <w:tcW w:w="5386" w:type="dxa"/>
            <w:tcBorders>
              <w:top w:val="single" w:color="auto" w:sz="6" w:space="0"/>
              <w:left w:val="nil"/>
              <w:bottom w:val="single" w:color="auto" w:sz="6" w:space="0"/>
              <w:right w:val="single" w:color="auto" w:sz="6" w:space="0"/>
            </w:tcBorders>
            <w:vAlign w:val="center"/>
          </w:tcPr>
          <w:p w14:paraId="668DCFF5">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主要功能配置及技术指标要求</w:t>
            </w:r>
          </w:p>
        </w:tc>
        <w:tc>
          <w:tcPr>
            <w:tcW w:w="709" w:type="dxa"/>
            <w:tcBorders>
              <w:top w:val="single" w:color="auto" w:sz="6" w:space="0"/>
              <w:left w:val="single" w:color="auto" w:sz="6" w:space="0"/>
              <w:bottom w:val="single" w:color="auto" w:sz="6" w:space="0"/>
              <w:right w:val="single" w:color="auto" w:sz="6" w:space="0"/>
            </w:tcBorders>
            <w:vAlign w:val="center"/>
          </w:tcPr>
          <w:p w14:paraId="78D55C7E">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数量</w:t>
            </w:r>
          </w:p>
        </w:tc>
        <w:tc>
          <w:tcPr>
            <w:tcW w:w="709" w:type="dxa"/>
            <w:tcBorders>
              <w:top w:val="single" w:color="auto" w:sz="6" w:space="0"/>
              <w:left w:val="nil"/>
              <w:bottom w:val="single" w:color="auto" w:sz="6" w:space="0"/>
              <w:right w:val="single" w:color="auto" w:sz="6" w:space="0"/>
            </w:tcBorders>
            <w:vAlign w:val="center"/>
          </w:tcPr>
          <w:p w14:paraId="6726619E">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数量单位</w:t>
            </w:r>
          </w:p>
        </w:tc>
      </w:tr>
      <w:tr w14:paraId="3391945B">
        <w:tblPrEx>
          <w:tblCellMar>
            <w:top w:w="0" w:type="dxa"/>
            <w:left w:w="10" w:type="dxa"/>
            <w:bottom w:w="0" w:type="dxa"/>
            <w:right w:w="10" w:type="dxa"/>
          </w:tblCellMar>
        </w:tblPrEx>
        <w:trPr>
          <w:trHeight w:val="495" w:hRule="atLeast"/>
        </w:trPr>
        <w:tc>
          <w:tcPr>
            <w:tcW w:w="708" w:type="dxa"/>
            <w:tcBorders>
              <w:top w:val="single" w:color="auto" w:sz="6" w:space="0"/>
              <w:left w:val="single" w:color="auto" w:sz="6" w:space="0"/>
              <w:bottom w:val="single" w:color="auto" w:sz="6" w:space="0"/>
              <w:right w:val="single" w:color="auto" w:sz="6" w:space="0"/>
            </w:tcBorders>
            <w:vAlign w:val="center"/>
          </w:tcPr>
          <w:p w14:paraId="75DA248F">
            <w:pPr>
              <w:pStyle w:val="92"/>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418" w:type="dxa"/>
            <w:tcBorders>
              <w:top w:val="single" w:color="auto" w:sz="6" w:space="0"/>
              <w:left w:val="nil"/>
              <w:bottom w:val="single" w:color="auto" w:sz="6" w:space="0"/>
              <w:right w:val="single" w:color="auto" w:sz="6" w:space="0"/>
            </w:tcBorders>
            <w:vAlign w:val="center"/>
          </w:tcPr>
          <w:p w14:paraId="483F19AB">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DNA人员样本采集盒</w:t>
            </w:r>
          </w:p>
        </w:tc>
        <w:tc>
          <w:tcPr>
            <w:tcW w:w="5386" w:type="dxa"/>
            <w:tcBorders>
              <w:top w:val="single" w:color="auto" w:sz="6" w:space="0"/>
              <w:left w:val="nil"/>
              <w:bottom w:val="single" w:color="auto" w:sz="6" w:space="0"/>
              <w:right w:val="single" w:color="auto" w:sz="6" w:space="0"/>
            </w:tcBorders>
            <w:vAlign w:val="center"/>
          </w:tcPr>
          <w:p w14:paraId="47B9A1F0">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1、可直接采集唾液（非口腔上皮细胞）DNA，无需其它器具介入口腔内；</w:t>
            </w:r>
          </w:p>
          <w:p w14:paraId="0D5D69B6">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2、每套产品包含唾液采集盒1个和采集卡1张，采集盒与采集卡一体式组装；</w:t>
            </w:r>
          </w:p>
          <w:p w14:paraId="249EAA40">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采集盒采用漏斗式采集设计，PP材质，漏斗内有刻度线标记唾液采集量，上盖的海绵块装置可以有效的吸取多余唾液。采集盒尺寸≥65*45*12.5mm，上下开盖设计实现上开盖直接采集唾液，采样完成后下开盖直接取卡；</w:t>
            </w:r>
          </w:p>
          <w:p w14:paraId="4D575DC0">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4、采集卡由包装卡和采样纸组成，采样区上采样环直径≥1.5cm，采样区有效面积≥30*30mm²；在LB培养基，湿度82%，放置12天条件下测试，具有超强抗菌和保存能力，保证唾液DNA样本能够长期有效保存；</w:t>
            </w:r>
          </w:p>
          <w:p w14:paraId="2B20FE7F">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5、包装卡内含有速干层可以使唾液样本快速干燥；采样纸上采样区为单采样环，采样纸上含指示性试剂具有永久指示功能，当遇到无色的唾液样本时，采样纸由紫红色变为白色，变色后可长期保存不退色；</w:t>
            </w:r>
          </w:p>
          <w:p w14:paraId="4FCEC8CE">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6、包装卡封皮上可填写待录自然信息，待录信息包括：姓名、性别、证件号码、采样单位、采样人、联系电话、采样时间等；</w:t>
            </w:r>
          </w:p>
          <w:p w14:paraId="52CA645F">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7、包装卡三折后一端粘附采样纸，包装卡附有防水条码，打孔同时扫描条码。条码号符合省库统一制式，不得有重码；</w:t>
            </w:r>
          </w:p>
          <w:p w14:paraId="6F15BFD9">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8、采集的唾液样本无需水洗等前处理步骤可直接用于免提取直接扩增试剂且对扩增无抑制；唾液样本法庭科学DNA数据库检出率应不低于95%，提供生产厂家出具的售后服务承诺书若不能达到要求检出率做退货处理；</w:t>
            </w:r>
          </w:p>
          <w:p w14:paraId="72999ED5">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9、投标商应提供采样规范以及培训视频，并需派专门技术人员协助用户单位进行全省信息采集室采样培训；</w:t>
            </w:r>
          </w:p>
          <w:p w14:paraId="3223B654">
            <w:pPr>
              <w:pStyle w:val="8"/>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10、</w:t>
            </w:r>
            <w:r>
              <w:rPr>
                <w:rFonts w:hint="eastAsia" w:ascii="宋体" w:hAnsi="宋体" w:eastAsia="宋体" w:cs="宋体"/>
                <w:color w:val="000000" w:themeColor="text1"/>
                <w:kern w:val="2"/>
                <w:sz w:val="21"/>
                <w:szCs w:val="21"/>
                <w:lang w:val="zh-CN" w:eastAsia="zh-CN" w:bidi="ar-SA"/>
                <w14:textFill>
                  <w14:solidFill>
                    <w14:schemeClr w14:val="tx1"/>
                  </w14:solidFill>
                </w14:textFill>
              </w:rPr>
              <w:t>采购人有权在评标阶段或中标后对产品进行抽样验证，投标人无需在投标阶段提交样品；中标人需在接到采购人通知后3日内提供产品样品供验证；</w:t>
            </w:r>
          </w:p>
          <w:p w14:paraId="7534C0C3">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11、本产品为DNA检验的关键产品，为确保产品质量和可靠性，制造商需通过ISO9001质量管理体系认证，且认证范围必须包含分离纯化试剂、耗材及设备的生产，投标文件中需提供加盖生产厂家公章的ISO证书复印件或扫描件；</w:t>
            </w:r>
          </w:p>
          <w:p w14:paraId="7B6E5436">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12、本产品为DNA检验的关键产品，为确保产品质量和可靠性，制造商需具有一类医疗器械用品生产资格，具有核酸分离纯化类产品的一类医疗器械用品生产资格备案，投标文件附件中须提供备案凭证（复印件加盖生产厂家公章）；</w:t>
            </w:r>
          </w:p>
          <w:p w14:paraId="66B0C34E">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13、提供的投标文件的附件中必须包含以下内容：证明产品技术参数的正式文件，如生产厂家提供的技术白皮书或产品彩页，以示该产品符合招标文件的技术要求；</w:t>
            </w:r>
          </w:p>
          <w:p w14:paraId="5F6F4385">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14、投标单位需在中标后三日内将所投产品送至吉林省公安厅DNA实验室进行检测，若发现产品参数与投标文件不符，将取消中标资格；</w:t>
            </w:r>
          </w:p>
          <w:p w14:paraId="6B2338CD">
            <w:pPr>
              <w:pStyle w:val="92"/>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15、投标单位提供售后服务承诺书，</w:t>
            </w:r>
            <w:r>
              <w:rPr>
                <w:rFonts w:hint="eastAsia" w:ascii="宋体" w:hAnsi="宋体" w:eastAsia="宋体" w:cs="宋体"/>
                <w:color w:val="000000" w:themeColor="text1"/>
                <w:sz w:val="21"/>
                <w:szCs w:val="21"/>
                <w:lang w:val="en-US" w:eastAsia="zh-CN"/>
                <w14:textFill>
                  <w14:solidFill>
                    <w14:schemeClr w14:val="tx1"/>
                  </w14:solidFill>
                </w14:textFill>
              </w:rPr>
              <w:t>投标单位中标后需提供</w:t>
            </w:r>
            <w:r>
              <w:rPr>
                <w:rFonts w:hint="eastAsia" w:ascii="宋体" w:hAnsi="宋体" w:eastAsia="宋体" w:cs="宋体"/>
                <w:color w:val="000000" w:themeColor="text1"/>
                <w:sz w:val="21"/>
                <w:szCs w:val="21"/>
                <w:lang w:val="zh-CN"/>
                <w14:textFill>
                  <w14:solidFill>
                    <w14:schemeClr w14:val="tx1"/>
                  </w14:solidFill>
                </w14:textFill>
              </w:rPr>
              <w:t>制造商出具的正式产品授权书。</w:t>
            </w:r>
          </w:p>
        </w:tc>
        <w:tc>
          <w:tcPr>
            <w:tcW w:w="709" w:type="dxa"/>
            <w:tcBorders>
              <w:top w:val="single" w:color="auto" w:sz="6" w:space="0"/>
              <w:left w:val="single" w:color="auto" w:sz="6" w:space="0"/>
              <w:bottom w:val="single" w:color="auto" w:sz="6" w:space="0"/>
              <w:right w:val="single" w:color="auto" w:sz="6" w:space="0"/>
            </w:tcBorders>
            <w:vAlign w:val="center"/>
          </w:tcPr>
          <w:p w14:paraId="78D2A156">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120000</w:t>
            </w:r>
          </w:p>
        </w:tc>
        <w:tc>
          <w:tcPr>
            <w:tcW w:w="709" w:type="dxa"/>
            <w:tcBorders>
              <w:top w:val="single" w:color="auto" w:sz="6" w:space="0"/>
              <w:left w:val="nil"/>
              <w:bottom w:val="single" w:color="auto" w:sz="6" w:space="0"/>
              <w:right w:val="single" w:color="auto" w:sz="6" w:space="0"/>
            </w:tcBorders>
            <w:vAlign w:val="center"/>
          </w:tcPr>
          <w:p w14:paraId="54FD3F72">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套</w:t>
            </w:r>
          </w:p>
        </w:tc>
      </w:tr>
      <w:tr w14:paraId="4C828126">
        <w:tblPrEx>
          <w:tblCellMar>
            <w:top w:w="0" w:type="dxa"/>
            <w:left w:w="10" w:type="dxa"/>
            <w:bottom w:w="0" w:type="dxa"/>
            <w:right w:w="10" w:type="dxa"/>
          </w:tblCellMar>
        </w:tblPrEx>
        <w:trPr>
          <w:trHeight w:val="495" w:hRule="atLeast"/>
        </w:trPr>
        <w:tc>
          <w:tcPr>
            <w:tcW w:w="708" w:type="dxa"/>
            <w:tcBorders>
              <w:top w:val="single" w:color="auto" w:sz="6" w:space="0"/>
              <w:left w:val="single" w:color="auto" w:sz="6" w:space="0"/>
              <w:bottom w:val="single" w:color="auto" w:sz="6" w:space="0"/>
              <w:right w:val="single" w:color="auto" w:sz="6" w:space="0"/>
            </w:tcBorders>
            <w:vAlign w:val="center"/>
          </w:tcPr>
          <w:p w14:paraId="25ABD304">
            <w:pPr>
              <w:pStyle w:val="92"/>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418" w:type="dxa"/>
            <w:tcBorders>
              <w:top w:val="single" w:color="auto" w:sz="6" w:space="0"/>
              <w:left w:val="nil"/>
              <w:bottom w:val="single" w:color="auto" w:sz="6" w:space="0"/>
              <w:right w:val="single" w:color="auto" w:sz="6" w:space="0"/>
            </w:tcBorders>
            <w:vAlign w:val="center"/>
          </w:tcPr>
          <w:p w14:paraId="458D7220">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常染色体检测试剂盒</w:t>
            </w:r>
          </w:p>
        </w:tc>
        <w:tc>
          <w:tcPr>
            <w:tcW w:w="5386" w:type="dxa"/>
            <w:tcBorders>
              <w:top w:val="single" w:color="auto" w:sz="6" w:space="0"/>
              <w:left w:val="nil"/>
              <w:bottom w:val="single" w:color="auto" w:sz="6" w:space="0"/>
              <w:right w:val="single" w:color="auto" w:sz="6" w:space="0"/>
            </w:tcBorders>
            <w:vAlign w:val="center"/>
          </w:tcPr>
          <w:p w14:paraId="0D4E5C9C">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试剂盒采用六色荧光标记技术，单管同时扩增39个及以上位点，须包含公安部打拐DNA数据库要求位点：D18S51、D21S11、D3S1358、FGA、D8S1179、vWA、CSF1PO、D16S539、D7S820、D13S317、D5S818、D2S1338、D19S433、TH01、TPOX、D6S1043、PentaD、PentaE、D12S391、D1S1656、D2S441、D22S1045、D10S1248、D8S1132、D15S659、D3S3045、D19S253、D6S477、D10S1435、Amelogenin。提供试剂盒生产厂商经由Genemapper ID-X分析出的原始分型图谱原件。</w:t>
            </w:r>
          </w:p>
          <w:p w14:paraId="48513586">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2.为加强男性样本在排查中的识别率，所投STR试剂盒须含有1个及以上Y染色体基因座（Y-STR或Y-indel）。</w:t>
            </w:r>
          </w:p>
          <w:p w14:paraId="5EF8B6E8">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3.试剂盒名称和基因座参数信息均已收录在全国公安机关DNA数据库，其检测数据可直接导入数据库中。需要提供数据库下拉菜单（包含试剂盒位点信息）截图证明。</w:t>
            </w:r>
          </w:p>
          <w:p w14:paraId="3880171F">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4.无需提取或纯化，直接使用血样采集卡上的血样和口腔拭子样本进行扩增，适合多种采集卡材质。</w:t>
            </w:r>
          </w:p>
          <w:p w14:paraId="11676573">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5.试剂盒要求90分钟内完成PCR扩增。</w:t>
            </w:r>
          </w:p>
          <w:p w14:paraId="6A7A676F">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6. 试剂盒具有中国安全技术防范认证中心颁发的《中国公共安全产品认证证书》，提供原件复印件加以证明。</w:t>
            </w:r>
          </w:p>
          <w:p w14:paraId="768E968F">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7.试剂盒经过严格质量监控，试剂各组分的生产批号全部可追溯。</w:t>
            </w:r>
          </w:p>
        </w:tc>
        <w:tc>
          <w:tcPr>
            <w:tcW w:w="709" w:type="dxa"/>
            <w:tcBorders>
              <w:top w:val="single" w:color="auto" w:sz="6" w:space="0"/>
              <w:left w:val="single" w:color="auto" w:sz="6" w:space="0"/>
              <w:bottom w:val="single" w:color="auto" w:sz="6" w:space="0"/>
              <w:right w:val="single" w:color="auto" w:sz="6" w:space="0"/>
            </w:tcBorders>
            <w:vAlign w:val="center"/>
          </w:tcPr>
          <w:p w14:paraId="55D04E82">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600</w:t>
            </w:r>
          </w:p>
        </w:tc>
        <w:tc>
          <w:tcPr>
            <w:tcW w:w="709" w:type="dxa"/>
            <w:tcBorders>
              <w:top w:val="single" w:color="auto" w:sz="6" w:space="0"/>
              <w:left w:val="nil"/>
              <w:bottom w:val="single" w:color="auto" w:sz="6" w:space="0"/>
              <w:right w:val="single" w:color="auto" w:sz="6" w:space="0"/>
            </w:tcBorders>
            <w:vAlign w:val="center"/>
          </w:tcPr>
          <w:p w14:paraId="31BB5C63">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盒</w:t>
            </w:r>
          </w:p>
        </w:tc>
      </w:tr>
      <w:tr w14:paraId="102D6E08">
        <w:tblPrEx>
          <w:tblCellMar>
            <w:top w:w="0" w:type="dxa"/>
            <w:left w:w="10" w:type="dxa"/>
            <w:bottom w:w="0" w:type="dxa"/>
            <w:right w:w="10" w:type="dxa"/>
          </w:tblCellMar>
        </w:tblPrEx>
        <w:trPr>
          <w:trHeight w:val="495" w:hRule="atLeast"/>
        </w:trPr>
        <w:tc>
          <w:tcPr>
            <w:tcW w:w="708" w:type="dxa"/>
            <w:tcBorders>
              <w:top w:val="single" w:color="auto" w:sz="6" w:space="0"/>
              <w:left w:val="single" w:color="auto" w:sz="6" w:space="0"/>
              <w:bottom w:val="single" w:color="auto" w:sz="6" w:space="0"/>
              <w:right w:val="single" w:color="auto" w:sz="6" w:space="0"/>
            </w:tcBorders>
            <w:vAlign w:val="center"/>
          </w:tcPr>
          <w:p w14:paraId="404DAF66">
            <w:pPr>
              <w:pStyle w:val="92"/>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418" w:type="dxa"/>
            <w:tcBorders>
              <w:top w:val="single" w:color="auto" w:sz="6" w:space="0"/>
              <w:left w:val="nil"/>
              <w:bottom w:val="single" w:color="auto" w:sz="6" w:space="0"/>
              <w:right w:val="single" w:color="auto" w:sz="6" w:space="0"/>
            </w:tcBorders>
            <w:vAlign w:val="center"/>
          </w:tcPr>
          <w:p w14:paraId="78EBDC3F">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Y染色体检测试剂盒</w:t>
            </w:r>
          </w:p>
        </w:tc>
        <w:tc>
          <w:tcPr>
            <w:tcW w:w="5386" w:type="dxa"/>
            <w:tcBorders>
              <w:top w:val="single" w:color="auto" w:sz="6" w:space="0"/>
              <w:left w:val="nil"/>
              <w:bottom w:val="single" w:color="auto" w:sz="6" w:space="0"/>
              <w:right w:val="single" w:color="auto" w:sz="6" w:space="0"/>
            </w:tcBorders>
            <w:vAlign w:val="center"/>
          </w:tcPr>
          <w:p w14:paraId="0CA1E37F">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试剂盒采用六色荧光标记技术,试剂盒单管同时扩增50个及以上Y染色体基因座，包括公安部20个Y-STR核心基因座：(DYS19、DYS385a/b、DYS389Ⅰ、DYS389Ⅱ、DYS390、DYS391、DYS392、DYS393、DYS437、DYS438、DYS439、DYS448、DYS456、DYS458、DYS635、YGATAH4、DYS481、DYS533、DYS576)和15个优选基因座（DYS643，DYS460，DYS549，DYF387S1a/b，DYS449，DYS518，DYS627，DYS570，DYS527a/b，DYS447，DYS444，DYS557，DYS596），检验结果能够通过CODIS表格直接批量导入DNA数据库；</w:t>
            </w:r>
          </w:p>
          <w:p w14:paraId="2D3BE1BF">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2、所投试剂盒基因座具备至少1个Y-indel遗传标记位点，以精准划分家系（须提供彩色分型图谱、试剂盒入选带有基因座位点的“全国公安机关DNA数据库”系统截图）；</w:t>
            </w:r>
          </w:p>
          <w:p w14:paraId="04BF1899">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3、为提高检测效率，试剂盒完成全部PCR扩增反应的时间小于90分钟；</w:t>
            </w:r>
          </w:p>
          <w:p w14:paraId="080B93CE">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4、为提高采样不良样本及陈旧检材检出率，试剂盒至少包含10个小于220bp的miniY-STR基因座；</w:t>
            </w:r>
          </w:p>
          <w:p w14:paraId="63AC3170">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5、所用试剂盒必须是已获准进入全国公安机关DNA数据库的试剂盒。（提供全国公安机关DNA数据库试剂盒目录截图）；</w:t>
            </w:r>
          </w:p>
          <w:p w14:paraId="50B69963">
            <w:pPr>
              <w:pStyle w:val="92"/>
              <w:jc w:val="center"/>
              <w:rPr>
                <w:rFonts w:hint="eastAsia" w:ascii="宋体" w:hAnsi="宋体" w:eastAsia="宋体" w:cs="宋体"/>
                <w:color w:val="000000" w:themeColor="text1"/>
                <w:sz w:val="21"/>
                <w:szCs w:val="21"/>
                <w:lang w:val="zh-CN"/>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14:paraId="560911A9">
            <w:pPr>
              <w:pStyle w:val="92"/>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250</w:t>
            </w:r>
          </w:p>
        </w:tc>
        <w:tc>
          <w:tcPr>
            <w:tcW w:w="709" w:type="dxa"/>
            <w:tcBorders>
              <w:top w:val="single" w:color="auto" w:sz="6" w:space="0"/>
              <w:left w:val="nil"/>
              <w:bottom w:val="single" w:color="auto" w:sz="6" w:space="0"/>
              <w:right w:val="single" w:color="auto" w:sz="6" w:space="0"/>
            </w:tcBorders>
            <w:vAlign w:val="center"/>
          </w:tcPr>
          <w:p w14:paraId="1C26A627">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盒</w:t>
            </w:r>
          </w:p>
        </w:tc>
      </w:tr>
      <w:tr w14:paraId="191648F6">
        <w:tblPrEx>
          <w:tblCellMar>
            <w:top w:w="0" w:type="dxa"/>
            <w:left w:w="10" w:type="dxa"/>
            <w:bottom w:w="0" w:type="dxa"/>
            <w:right w:w="10" w:type="dxa"/>
          </w:tblCellMar>
        </w:tblPrEx>
        <w:trPr>
          <w:trHeight w:val="495" w:hRule="atLeast"/>
        </w:trPr>
        <w:tc>
          <w:tcPr>
            <w:tcW w:w="708" w:type="dxa"/>
            <w:tcBorders>
              <w:top w:val="single" w:color="auto" w:sz="6" w:space="0"/>
              <w:left w:val="single" w:color="auto" w:sz="6" w:space="0"/>
              <w:bottom w:val="single" w:color="auto" w:sz="6" w:space="0"/>
              <w:right w:val="single" w:color="auto" w:sz="6" w:space="0"/>
            </w:tcBorders>
            <w:vAlign w:val="center"/>
          </w:tcPr>
          <w:p w14:paraId="1647150F">
            <w:pPr>
              <w:pStyle w:val="92"/>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418" w:type="dxa"/>
            <w:tcBorders>
              <w:top w:val="single" w:color="auto" w:sz="6" w:space="0"/>
              <w:left w:val="nil"/>
              <w:bottom w:val="single" w:color="auto" w:sz="6" w:space="0"/>
              <w:right w:val="single" w:color="auto" w:sz="6" w:space="0"/>
            </w:tcBorders>
            <w:vAlign w:val="center"/>
          </w:tcPr>
          <w:p w14:paraId="2C71421C">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毛细管</w:t>
            </w:r>
          </w:p>
        </w:tc>
        <w:tc>
          <w:tcPr>
            <w:tcW w:w="5386" w:type="dxa"/>
            <w:tcBorders>
              <w:top w:val="single" w:color="auto" w:sz="6" w:space="0"/>
              <w:left w:val="nil"/>
              <w:bottom w:val="single" w:color="auto" w:sz="6" w:space="0"/>
              <w:right w:val="single" w:color="auto" w:sz="6" w:space="0"/>
            </w:tcBorders>
            <w:vAlign w:val="center"/>
          </w:tcPr>
          <w:p w14:paraId="32231B7C">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24道，≥36厘米，测序仪配套使用。</w:t>
            </w:r>
          </w:p>
        </w:tc>
        <w:tc>
          <w:tcPr>
            <w:tcW w:w="709" w:type="dxa"/>
            <w:tcBorders>
              <w:top w:val="single" w:color="auto" w:sz="6" w:space="0"/>
              <w:left w:val="single" w:color="auto" w:sz="6" w:space="0"/>
              <w:bottom w:val="single" w:color="auto" w:sz="6" w:space="0"/>
              <w:right w:val="single" w:color="auto" w:sz="6" w:space="0"/>
            </w:tcBorders>
            <w:vAlign w:val="center"/>
          </w:tcPr>
          <w:p w14:paraId="58C3D633">
            <w:pPr>
              <w:pStyle w:val="92"/>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709" w:type="dxa"/>
            <w:tcBorders>
              <w:top w:val="single" w:color="auto" w:sz="6" w:space="0"/>
              <w:left w:val="nil"/>
              <w:bottom w:val="single" w:color="auto" w:sz="6" w:space="0"/>
              <w:right w:val="single" w:color="auto" w:sz="6" w:space="0"/>
            </w:tcBorders>
            <w:vAlign w:val="center"/>
          </w:tcPr>
          <w:p w14:paraId="60DA6567">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套</w:t>
            </w:r>
          </w:p>
        </w:tc>
      </w:tr>
      <w:tr w14:paraId="2C0CEAC3">
        <w:tblPrEx>
          <w:tblCellMar>
            <w:top w:w="0" w:type="dxa"/>
            <w:left w:w="10" w:type="dxa"/>
            <w:bottom w:w="0" w:type="dxa"/>
            <w:right w:w="10" w:type="dxa"/>
          </w:tblCellMar>
        </w:tblPrEx>
        <w:trPr>
          <w:trHeight w:val="495" w:hRule="atLeast"/>
        </w:trPr>
        <w:tc>
          <w:tcPr>
            <w:tcW w:w="708" w:type="dxa"/>
            <w:tcBorders>
              <w:top w:val="single" w:color="auto" w:sz="6" w:space="0"/>
              <w:left w:val="single" w:color="auto" w:sz="6" w:space="0"/>
              <w:bottom w:val="single" w:color="auto" w:sz="6" w:space="0"/>
              <w:right w:val="single" w:color="auto" w:sz="6" w:space="0"/>
            </w:tcBorders>
            <w:vAlign w:val="center"/>
          </w:tcPr>
          <w:p w14:paraId="2FC62CBE">
            <w:pPr>
              <w:pStyle w:val="92"/>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418" w:type="dxa"/>
            <w:tcBorders>
              <w:top w:val="single" w:color="auto" w:sz="6" w:space="0"/>
              <w:left w:val="nil"/>
              <w:bottom w:val="single" w:color="auto" w:sz="6" w:space="0"/>
              <w:right w:val="single" w:color="auto" w:sz="6" w:space="0"/>
            </w:tcBorders>
            <w:vAlign w:val="center"/>
          </w:tcPr>
          <w:p w14:paraId="00C77404">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DNA提取检验试剂</w:t>
            </w:r>
          </w:p>
        </w:tc>
        <w:tc>
          <w:tcPr>
            <w:tcW w:w="5386" w:type="dxa"/>
            <w:tcBorders>
              <w:top w:val="single" w:color="auto" w:sz="6" w:space="0"/>
              <w:left w:val="nil"/>
              <w:bottom w:val="single" w:color="auto" w:sz="6" w:space="0"/>
              <w:right w:val="single" w:color="auto" w:sz="6" w:space="0"/>
            </w:tcBorders>
            <w:vAlign w:val="center"/>
          </w:tcPr>
          <w:p w14:paraId="797553F1">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一体式封装试剂，用于DNA提取的磁珠和各种试剂通过塑料膜密封在可与全自动微量DNA提取工作站配套使用的塑料反应板内，使用时撕开密封膜置于全自动微量DNA提取工作站中即可直接用于全自动DNA的自动化提取；</w:t>
            </w:r>
          </w:p>
          <w:p w14:paraId="7412E1B1">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一个完整试剂盒包装含：5块封装试剂的反应板且均为深孔板；和封装试剂相对应数量的盒装吸头（预封装好的盒装吸头，撕开外包装即可整盒放置在工作站上使用）；封装好的消化液（一次性使用，无需二次整体转移消化液，撕开封膜即可放在工作站上使用），1块96孔磁套及1块96孔空白浅孔板，浅孔板可以实现20ul小体积洗脱；</w:t>
            </w:r>
          </w:p>
          <w:p w14:paraId="0618837C">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3、试剂盒需能够与本实验室现有全自动工作站（BK-TQ-001E）配套使用（需提供证明材料）；</w:t>
            </w:r>
          </w:p>
          <w:p w14:paraId="5BD6CC3A">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4、完整试剂盒外需另配和试剂盒规格相应数量的24孔离心套板，该24孔离心套板为嵌套反应板，上下部分可分离；另配相应数量封装好的洗脱液；</w:t>
            </w:r>
          </w:p>
          <w:p w14:paraId="6ED1E6A3">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5、样本适用性：配有在全自动微量DNA提取工作站上使用的浓缩、纯化及提取程序，可用于血液(斑)、唾液(斑)、精液(斑)、毛发、组织等常规检材及陈旧、污染、降解和微量检材等疑难检材的全自动DNA提取纯化；</w:t>
            </w:r>
          </w:p>
          <w:p w14:paraId="1E16DA92">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6、本产品为DNA检验的关键产品，为确保产品质量和可靠性，制造商需通过ISO9001质量管理体系认证，且认证范围必须包含分离纯化试剂、耗材及设备的生产，投标文件中需提供加盖生产厂家公章的ISO证书复印件或扫描件；</w:t>
            </w:r>
          </w:p>
          <w:p w14:paraId="6C1B1B05">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7、本产品为DNA检验的关键产品，为确保产品质量和可靠性，制造商需具有一类医疗器械用品生产资格，具有核酸分离纯化类产品的一类医疗器械用品生产资格备案，投标文件附件中须提供备案凭证（复印件加盖生产厂家公章）；</w:t>
            </w:r>
          </w:p>
          <w:p w14:paraId="44DB91F2">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8、提供的投标文件的附件中必须包含以下内容：证明产品技术参数的正式文件，如生产厂家提供的技术白皮书或产品彩页，以示该产品符合招标文件的技术要求；</w:t>
            </w:r>
          </w:p>
          <w:p w14:paraId="73E990AC">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9、投标单位需在中标后三日内将所投试剂盒送至吉林省公安厅DNA实验室进行试剂盒检测，若发现试剂盒参数与投标文件不符，将取消中标资格；</w:t>
            </w:r>
          </w:p>
          <w:p w14:paraId="63F78C70">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10、投标单位需派2名工程师对中标试剂盒使用方法进行培训并驻点（为期一年），投标单位需提供承诺书；</w:t>
            </w:r>
          </w:p>
          <w:p w14:paraId="459B373B">
            <w:pPr>
              <w:pStyle w:val="92"/>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11、投标单位提供售后服务承诺书，</w:t>
            </w:r>
            <w:r>
              <w:rPr>
                <w:rFonts w:hint="eastAsia" w:ascii="宋体" w:hAnsi="宋体" w:eastAsia="宋体" w:cs="宋体"/>
                <w:color w:val="000000" w:themeColor="text1"/>
                <w:sz w:val="21"/>
                <w:szCs w:val="21"/>
                <w:lang w:val="en-US" w:eastAsia="zh-CN"/>
                <w14:textFill>
                  <w14:solidFill>
                    <w14:schemeClr w14:val="tx1"/>
                  </w14:solidFill>
                </w14:textFill>
              </w:rPr>
              <w:t>投标单位中标后需提供</w:t>
            </w:r>
            <w:r>
              <w:rPr>
                <w:rFonts w:hint="eastAsia" w:ascii="宋体" w:hAnsi="宋体" w:eastAsia="宋体" w:cs="宋体"/>
                <w:color w:val="000000" w:themeColor="text1"/>
                <w:sz w:val="21"/>
                <w:szCs w:val="21"/>
                <w:lang w:val="zh-CN"/>
                <w14:textFill>
                  <w14:solidFill>
                    <w14:schemeClr w14:val="tx1"/>
                  </w14:solidFill>
                </w14:textFill>
              </w:rPr>
              <w:t>制造商出具的正式产品授权书。</w:t>
            </w:r>
          </w:p>
        </w:tc>
        <w:tc>
          <w:tcPr>
            <w:tcW w:w="709" w:type="dxa"/>
            <w:tcBorders>
              <w:top w:val="single" w:color="auto" w:sz="6" w:space="0"/>
              <w:left w:val="single" w:color="auto" w:sz="6" w:space="0"/>
              <w:bottom w:val="single" w:color="auto" w:sz="6" w:space="0"/>
              <w:right w:val="single" w:color="auto" w:sz="6" w:space="0"/>
            </w:tcBorders>
            <w:vAlign w:val="center"/>
          </w:tcPr>
          <w:p w14:paraId="0B0185D7">
            <w:pPr>
              <w:pStyle w:val="92"/>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300</w:t>
            </w:r>
          </w:p>
        </w:tc>
        <w:tc>
          <w:tcPr>
            <w:tcW w:w="709" w:type="dxa"/>
            <w:tcBorders>
              <w:top w:val="single" w:color="auto" w:sz="6" w:space="0"/>
              <w:left w:val="nil"/>
              <w:bottom w:val="single" w:color="auto" w:sz="6" w:space="0"/>
              <w:right w:val="single" w:color="auto" w:sz="6" w:space="0"/>
            </w:tcBorders>
            <w:vAlign w:val="center"/>
          </w:tcPr>
          <w:p w14:paraId="511B092E">
            <w:pPr>
              <w:pStyle w:val="92"/>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盒</w:t>
            </w:r>
          </w:p>
        </w:tc>
      </w:tr>
    </w:tbl>
    <w:p w14:paraId="02954CA7">
      <w:pPr>
        <w:rPr>
          <w:rFonts w:hint="eastAsia" w:ascii="宋体" w:hAnsi="宋体" w:eastAsia="宋体" w:cs="宋体"/>
          <w:b/>
          <w:sz w:val="21"/>
          <w:szCs w:val="21"/>
          <w:highlight w:val="none"/>
        </w:rPr>
      </w:pPr>
      <w:r>
        <w:rPr>
          <w:rFonts w:hint="eastAsia" w:ascii="宋体" w:hAnsi="宋体" w:eastAsia="宋体" w:cs="宋体"/>
          <w:b/>
          <w:sz w:val="21"/>
          <w:szCs w:val="21"/>
        </w:rPr>
        <w:t xml:space="preserve">       </w:t>
      </w:r>
      <w:r>
        <w:rPr>
          <w:rFonts w:hint="eastAsia" w:ascii="宋体" w:hAnsi="宋体" w:eastAsia="宋体" w:cs="宋体"/>
          <w:b/>
          <w:sz w:val="21"/>
          <w:szCs w:val="21"/>
          <w:highlight w:val="none"/>
        </w:rPr>
        <w:t xml:space="preserve"> 核心产品(适用于非单一产品采购）为：第</w:t>
      </w:r>
      <w:r>
        <w:rPr>
          <w:rFonts w:hint="eastAsia" w:ascii="宋体" w:hAnsi="宋体" w:eastAsia="宋体" w:cs="宋体"/>
          <w:b/>
          <w:sz w:val="21"/>
          <w:szCs w:val="21"/>
          <w:highlight w:val="none"/>
          <w:lang w:val="en-US" w:eastAsia="zh-CN"/>
        </w:rPr>
        <w:t>5</w:t>
      </w:r>
      <w:r>
        <w:rPr>
          <w:rFonts w:hint="eastAsia" w:ascii="宋体" w:hAnsi="宋体" w:eastAsia="宋体" w:cs="宋体"/>
          <w:b/>
          <w:sz w:val="21"/>
          <w:szCs w:val="21"/>
          <w:highlight w:val="none"/>
        </w:rPr>
        <w:t>项</w:t>
      </w:r>
      <w:r>
        <w:rPr>
          <w:rFonts w:hint="eastAsia" w:ascii="宋体" w:hAnsi="宋体" w:eastAsia="宋体" w:cs="宋体"/>
          <w:b/>
          <w:sz w:val="21"/>
          <w:szCs w:val="21"/>
          <w:highlight w:val="none"/>
          <w:lang w:val="en-US" w:eastAsia="zh-CN"/>
        </w:rPr>
        <w:t xml:space="preserve"> </w:t>
      </w:r>
      <w:r>
        <w:rPr>
          <w:rFonts w:hint="eastAsia" w:ascii="宋体" w:hAnsi="宋体" w:eastAsia="宋体" w:cs="宋体"/>
          <w:sz w:val="21"/>
          <w:szCs w:val="21"/>
          <w:lang w:val="zh-CN"/>
        </w:rPr>
        <w:t>DNA提取检验试剂</w:t>
      </w:r>
      <w:r>
        <w:rPr>
          <w:rFonts w:hint="eastAsia" w:ascii="宋体" w:hAnsi="宋体" w:eastAsia="宋体" w:cs="宋体"/>
          <w:b/>
          <w:sz w:val="21"/>
          <w:szCs w:val="21"/>
          <w:highlight w:val="none"/>
        </w:rPr>
        <w:t xml:space="preserve">。 </w:t>
      </w:r>
    </w:p>
    <w:p w14:paraId="0334924B">
      <w:pPr>
        <w:rPr>
          <w:rFonts w:hint="eastAsia" w:ascii="宋体" w:hAnsi="宋体" w:eastAsia="宋体" w:cs="宋体"/>
          <w:b/>
          <w:color w:val="000000"/>
          <w:sz w:val="21"/>
          <w:szCs w:val="21"/>
          <w:lang w:val="zh-CN"/>
        </w:rPr>
      </w:pPr>
      <w:r>
        <w:rPr>
          <w:rFonts w:hint="eastAsia" w:ascii="宋体" w:hAnsi="宋体" w:eastAsia="宋体" w:cs="宋体"/>
          <w:b/>
          <w:sz w:val="21"/>
          <w:szCs w:val="21"/>
        </w:rPr>
        <w:t xml:space="preserve">        </w:t>
      </w:r>
      <w:r>
        <w:rPr>
          <w:rFonts w:hint="eastAsia" w:ascii="宋体" w:hAnsi="宋体" w:eastAsia="宋体" w:cs="宋体"/>
          <w:b/>
          <w:color w:val="000000"/>
          <w:sz w:val="21"/>
          <w:szCs w:val="21"/>
          <w:lang w:val="zh-CN"/>
        </w:rPr>
        <w:t>质量保证期：三年</w:t>
      </w:r>
    </w:p>
    <w:p w14:paraId="3A396D66">
      <w:pPr>
        <w:autoSpaceDE w:val="0"/>
        <w:autoSpaceDN w:val="0"/>
        <w:adjustRightInd w:val="0"/>
        <w:ind w:firstLine="480"/>
        <w:rPr>
          <w:rFonts w:hint="eastAsia" w:ascii="宋体" w:hAnsi="宋体" w:eastAsia="宋体" w:cs="宋体"/>
          <w:b/>
          <w:bCs/>
          <w:color w:val="000000"/>
          <w:sz w:val="21"/>
          <w:szCs w:val="21"/>
          <w:lang w:val="zh-CN"/>
        </w:rPr>
      </w:pPr>
      <w:r>
        <w:rPr>
          <w:rFonts w:hint="eastAsia" w:ascii="宋体" w:hAnsi="宋体" w:eastAsia="宋体" w:cs="宋体"/>
          <w:b/>
          <w:color w:val="000000"/>
          <w:sz w:val="21"/>
          <w:szCs w:val="21"/>
          <w:lang w:val="zh-CN"/>
        </w:rPr>
        <w:t xml:space="preserve">   </w:t>
      </w:r>
      <w:r>
        <w:rPr>
          <w:rFonts w:hint="eastAsia" w:ascii="宋体" w:hAnsi="宋体" w:cs="宋体"/>
          <w:b/>
          <w:color w:val="000000"/>
          <w:sz w:val="21"/>
          <w:szCs w:val="21"/>
          <w:lang w:val="en-US" w:eastAsia="zh-CN"/>
        </w:rPr>
        <w:t xml:space="preserve"> </w:t>
      </w:r>
      <w:r>
        <w:rPr>
          <w:rFonts w:hint="eastAsia" w:ascii="宋体" w:hAnsi="宋体" w:eastAsia="宋体" w:cs="宋体"/>
          <w:b/>
          <w:color w:val="000000"/>
          <w:sz w:val="21"/>
          <w:szCs w:val="21"/>
          <w:lang w:val="zh-CN"/>
        </w:rPr>
        <w:t>交货地点：吉林省长春市朝阳区工农大路605号</w:t>
      </w:r>
    </w:p>
    <w:p w14:paraId="33A9432A">
      <w:pPr>
        <w:tabs>
          <w:tab w:val="left" w:pos="3120"/>
        </w:tabs>
        <w:autoSpaceDE w:val="0"/>
        <w:autoSpaceDN w:val="0"/>
        <w:adjustRightInd w:val="0"/>
        <w:ind w:firstLine="482"/>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 xml:space="preserve">    交货方式：将全部货物送至长春市朝阳区工农大路605号，确保验收合格。</w:t>
      </w:r>
    </w:p>
    <w:p w14:paraId="0F35E088">
      <w:pPr>
        <w:pStyle w:val="92"/>
        <w:ind w:firstLine="826" w:firstLineChars="392"/>
        <w:rPr>
          <w:rFonts w:hint="eastAsia" w:ascii="宋体" w:hAnsi="宋体" w:eastAsia="宋体" w:cs="宋体"/>
          <w:b/>
          <w:sz w:val="21"/>
          <w:szCs w:val="21"/>
        </w:rPr>
      </w:pPr>
      <w:r>
        <w:rPr>
          <w:rFonts w:hint="eastAsia" w:ascii="宋体" w:hAnsi="宋体" w:eastAsia="宋体" w:cs="宋体"/>
          <w:b/>
          <w:sz w:val="21"/>
          <w:szCs w:val="21"/>
        </w:rPr>
        <w:t>验收时间：货到安装、调试后进行验收。</w:t>
      </w:r>
    </w:p>
    <w:p w14:paraId="0DB50104">
      <w:pPr>
        <w:pStyle w:val="92"/>
        <w:ind w:firstLine="826" w:firstLineChars="392"/>
        <w:rPr>
          <w:rFonts w:hint="eastAsia" w:ascii="宋体" w:hAnsi="宋体" w:eastAsia="宋体" w:cs="宋体"/>
          <w:b/>
          <w:sz w:val="21"/>
          <w:szCs w:val="21"/>
        </w:rPr>
      </w:pPr>
      <w:r>
        <w:rPr>
          <w:rFonts w:hint="eastAsia" w:ascii="宋体" w:hAnsi="宋体" w:eastAsia="宋体" w:cs="宋体"/>
          <w:b/>
          <w:sz w:val="21"/>
          <w:szCs w:val="21"/>
        </w:rPr>
        <w:t>验收方式：联合检查，实地验收。</w:t>
      </w:r>
    </w:p>
    <w:p w14:paraId="26546B48">
      <w:pPr>
        <w:pStyle w:val="92"/>
        <w:ind w:firstLine="826" w:firstLineChars="392"/>
        <w:rPr>
          <w:rFonts w:hint="eastAsia" w:ascii="宋体" w:hAnsi="宋体" w:eastAsia="宋体" w:cs="宋体"/>
          <w:b/>
          <w:sz w:val="21"/>
          <w:szCs w:val="21"/>
          <w:lang w:val="zh-CN"/>
        </w:rPr>
      </w:pPr>
      <w:r>
        <w:rPr>
          <w:rFonts w:hint="eastAsia" w:ascii="宋体" w:hAnsi="宋体" w:eastAsia="宋体" w:cs="宋体"/>
          <w:b/>
          <w:sz w:val="21"/>
          <w:szCs w:val="21"/>
        </w:rPr>
        <w:t>验收程序：成立3人以上验收小组，按照合同约定逐项验收。</w:t>
      </w:r>
    </w:p>
    <w:p w14:paraId="51E8BB73">
      <w:pPr>
        <w:tabs>
          <w:tab w:val="left" w:pos="3120"/>
        </w:tabs>
        <w:autoSpaceDE w:val="0"/>
        <w:autoSpaceDN w:val="0"/>
        <w:adjustRightInd w:val="0"/>
        <w:ind w:firstLine="482"/>
        <w:rPr>
          <w:rFonts w:hint="eastAsia" w:ascii="宋体" w:hAnsi="宋体" w:eastAsia="宋体" w:cs="宋体"/>
          <w:b/>
          <w:color w:val="000000"/>
          <w:sz w:val="21"/>
          <w:szCs w:val="21"/>
          <w:lang w:val="zh-CN"/>
        </w:rPr>
      </w:pPr>
    </w:p>
    <w:p w14:paraId="7ACE13D5">
      <w:pPr>
        <w:rPr>
          <w:rFonts w:hint="eastAsia" w:ascii="宋体" w:hAnsi="宋体" w:eastAsia="宋体" w:cs="宋体"/>
          <w:b/>
          <w:sz w:val="21"/>
          <w:szCs w:val="21"/>
        </w:rPr>
      </w:pPr>
      <w:r>
        <w:rPr>
          <w:rFonts w:hint="eastAsia" w:ascii="宋体" w:hAnsi="宋体" w:eastAsia="宋体" w:cs="宋体"/>
          <w:b/>
          <w:sz w:val="21"/>
          <w:szCs w:val="21"/>
        </w:rPr>
        <w:t xml:space="preserve">        </w:t>
      </w:r>
      <w:r>
        <w:rPr>
          <w:rFonts w:hint="eastAsia" w:ascii="宋体" w:hAnsi="宋体" w:eastAsia="宋体" w:cs="宋体"/>
          <w:b/>
          <w:bCs/>
          <w:color w:val="000000"/>
          <w:sz w:val="21"/>
          <w:szCs w:val="21"/>
          <w:lang w:val="zh-CN"/>
        </w:rPr>
        <w:t>请投标人注意：（1）投标文件对招标文件各种设备所要求的主要功能配置及其技术指标必须全部满足，不允许有缺项或者负偏离，如果不满足将导致废标。</w:t>
      </w:r>
    </w:p>
    <w:p w14:paraId="1C42D0D8">
      <w:pPr>
        <w:numPr>
          <w:ilvl w:val="0"/>
          <w:numId w:val="0"/>
        </w:numPr>
        <w:bidi w:val="0"/>
        <w:rPr>
          <w:rFonts w:hint="eastAsia" w:ascii="宋体" w:hAnsi="宋体" w:eastAsia="宋体" w:cs="宋体"/>
          <w:b/>
          <w:color w:val="auto"/>
          <w:kern w:val="44"/>
          <w:sz w:val="44"/>
          <w:highlight w:val="none"/>
          <w:lang w:val="en-US" w:eastAsia="zh-CN" w:bidi="ar-SA"/>
        </w:rPr>
      </w:pPr>
    </w:p>
    <w:p w14:paraId="36DF948A">
      <w:pPr>
        <w:numPr>
          <w:ilvl w:val="0"/>
          <w:numId w:val="13"/>
        </w:numPr>
        <w:bidi w:val="0"/>
        <w:rPr>
          <w:rFonts w:hint="eastAsia" w:ascii="宋体" w:hAnsi="宋体" w:eastAsia="宋体" w:cs="宋体"/>
          <w:b/>
          <w:color w:val="auto"/>
          <w:kern w:val="44"/>
          <w:sz w:val="44"/>
          <w:highlight w:val="none"/>
          <w:lang w:val="en-US" w:eastAsia="zh-CN" w:bidi="ar-SA"/>
        </w:rPr>
      </w:pPr>
      <w:r>
        <w:rPr>
          <w:rFonts w:hint="eastAsia" w:ascii="宋体" w:hAnsi="宋体" w:eastAsia="宋体" w:cs="宋体"/>
          <w:b/>
          <w:color w:val="auto"/>
          <w:kern w:val="44"/>
          <w:sz w:val="44"/>
          <w:highlight w:val="none"/>
          <w:lang w:val="en-US" w:eastAsia="zh-CN" w:bidi="ar-SA"/>
        </w:rPr>
        <w:br w:type="page"/>
      </w:r>
    </w:p>
    <w:p w14:paraId="31788F4D">
      <w:pPr>
        <w:numPr>
          <w:ilvl w:val="0"/>
          <w:numId w:val="0"/>
        </w:numPr>
        <w:bidi w:val="0"/>
        <w:rPr>
          <w:rFonts w:hint="eastAsia" w:ascii="宋体" w:hAnsi="宋体" w:eastAsia="宋体" w:cs="宋体"/>
          <w:b/>
          <w:color w:val="auto"/>
          <w:highlight w:val="none"/>
          <w:lang w:eastAsia="zh-CN"/>
        </w:rPr>
      </w:pPr>
      <w:r>
        <w:rPr>
          <w:rFonts w:hint="eastAsia" w:ascii="宋体" w:hAnsi="宋体" w:cs="宋体"/>
          <w:b/>
          <w:bCs/>
          <w:highlight w:val="none"/>
          <w:lang w:val="en-US" w:eastAsia="zh-CN"/>
        </w:rPr>
        <w:t>二标段</w:t>
      </w:r>
      <w:r>
        <w:rPr>
          <w:rFonts w:hint="eastAsia" w:ascii="宋体" w:hAnsi="宋体" w:eastAsia="宋体" w:cs="宋体"/>
          <w:b/>
          <w:color w:val="auto"/>
          <w:highlight w:val="none"/>
          <w:lang w:eastAsia="zh-CN"/>
        </w:rPr>
        <w:t>技术规格要求</w:t>
      </w:r>
    </w:p>
    <w:p w14:paraId="2D509301">
      <w:pPr>
        <w:numPr>
          <w:ilvl w:val="0"/>
          <w:numId w:val="0"/>
        </w:numPr>
        <w:bidi w:val="0"/>
        <w:rPr>
          <w:rFonts w:hint="eastAsia" w:ascii="宋体" w:hAnsi="宋体" w:eastAsia="宋体" w:cs="宋体"/>
          <w:b/>
          <w:color w:val="auto"/>
          <w:highlight w:val="none"/>
          <w:lang w:eastAsia="zh-CN"/>
        </w:rPr>
      </w:pPr>
    </w:p>
    <w:p w14:paraId="30EA662C">
      <w:pPr>
        <w:ind w:right="-286" w:rightChars="-136" w:firstLine="480"/>
        <w:jc w:val="left"/>
        <w:rPr>
          <w:rFonts w:hint="eastAsia" w:ascii="宋体" w:hAnsi="宋体" w:eastAsia="宋体" w:cs="宋体"/>
          <w:b/>
          <w:bCs/>
          <w:color w:val="000000"/>
          <w:sz w:val="21"/>
          <w:szCs w:val="21"/>
          <w:lang w:val="zh-CN"/>
        </w:rPr>
      </w:pPr>
      <w:r>
        <w:rPr>
          <w:rFonts w:hint="eastAsia" w:ascii="宋体" w:hAnsi="宋体" w:eastAsia="宋体" w:cs="宋体"/>
          <w:b/>
          <w:sz w:val="21"/>
          <w:szCs w:val="21"/>
          <w:lang w:val="zh-CN"/>
        </w:rPr>
        <w:t>采购项目预算或最高限价：</w:t>
      </w:r>
      <w:r>
        <w:rPr>
          <w:rFonts w:hint="eastAsia" w:ascii="宋体" w:hAnsi="宋体" w:eastAsia="宋体" w:cs="宋体"/>
          <w:b/>
          <w:sz w:val="21"/>
          <w:szCs w:val="21"/>
        </w:rPr>
        <w:t>323.568</w:t>
      </w:r>
      <w:r>
        <w:rPr>
          <w:rFonts w:hint="eastAsia" w:ascii="宋体" w:hAnsi="宋体" w:eastAsia="宋体" w:cs="宋体"/>
          <w:b/>
          <w:sz w:val="21"/>
          <w:szCs w:val="21"/>
          <w:lang w:val="zh-CN"/>
        </w:rPr>
        <w:t>万元</w:t>
      </w:r>
      <w:r>
        <w:rPr>
          <w:rFonts w:hint="eastAsia" w:ascii="宋体" w:hAnsi="宋体" w:eastAsia="宋体" w:cs="宋体"/>
          <w:b/>
          <w:bCs/>
          <w:color w:val="000000"/>
          <w:sz w:val="21"/>
          <w:szCs w:val="21"/>
          <w:lang w:val="zh-CN"/>
        </w:rPr>
        <w:t>（采购人不接受超过采购项目预算的投标）</w:t>
      </w:r>
    </w:p>
    <w:tbl>
      <w:tblPr>
        <w:tblStyle w:val="33"/>
        <w:tblW w:w="8930" w:type="dxa"/>
        <w:tblInd w:w="0" w:type="dxa"/>
        <w:tblLayout w:type="fixed"/>
        <w:tblCellMar>
          <w:top w:w="0" w:type="dxa"/>
          <w:left w:w="10" w:type="dxa"/>
          <w:bottom w:w="0" w:type="dxa"/>
          <w:right w:w="10" w:type="dxa"/>
        </w:tblCellMar>
      </w:tblPr>
      <w:tblGrid>
        <w:gridCol w:w="708"/>
        <w:gridCol w:w="1418"/>
        <w:gridCol w:w="5386"/>
        <w:gridCol w:w="709"/>
        <w:gridCol w:w="709"/>
      </w:tblGrid>
      <w:tr w14:paraId="7C27A915">
        <w:tblPrEx>
          <w:tblCellMar>
            <w:top w:w="0" w:type="dxa"/>
            <w:left w:w="10" w:type="dxa"/>
            <w:bottom w:w="0" w:type="dxa"/>
            <w:right w:w="10" w:type="dxa"/>
          </w:tblCellMar>
        </w:tblPrEx>
        <w:trPr>
          <w:trHeight w:val="495" w:hRule="atLeast"/>
        </w:trPr>
        <w:tc>
          <w:tcPr>
            <w:tcW w:w="708" w:type="dxa"/>
            <w:tcBorders>
              <w:top w:val="single" w:color="auto" w:sz="6" w:space="0"/>
              <w:left w:val="single" w:color="auto" w:sz="6" w:space="0"/>
              <w:bottom w:val="single" w:color="auto" w:sz="6" w:space="0"/>
              <w:right w:val="single" w:color="auto" w:sz="6" w:space="0"/>
            </w:tcBorders>
            <w:vAlign w:val="center"/>
          </w:tcPr>
          <w:p w14:paraId="2FE44D34">
            <w:pPr>
              <w:pStyle w:val="92"/>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序号</w:t>
            </w:r>
          </w:p>
        </w:tc>
        <w:tc>
          <w:tcPr>
            <w:tcW w:w="1418" w:type="dxa"/>
            <w:tcBorders>
              <w:top w:val="single" w:color="auto" w:sz="6" w:space="0"/>
              <w:left w:val="nil"/>
              <w:bottom w:val="single" w:color="auto" w:sz="6" w:space="0"/>
              <w:right w:val="single" w:color="auto" w:sz="6" w:space="0"/>
            </w:tcBorders>
            <w:vAlign w:val="center"/>
          </w:tcPr>
          <w:p w14:paraId="239B3D6A">
            <w:pPr>
              <w:pStyle w:val="92"/>
              <w:jc w:val="center"/>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货物名称</w:t>
            </w:r>
          </w:p>
        </w:tc>
        <w:tc>
          <w:tcPr>
            <w:tcW w:w="5386" w:type="dxa"/>
            <w:tcBorders>
              <w:top w:val="single" w:color="auto" w:sz="6" w:space="0"/>
              <w:left w:val="nil"/>
              <w:bottom w:val="single" w:color="auto" w:sz="6" w:space="0"/>
              <w:right w:val="single" w:color="auto" w:sz="6" w:space="0"/>
            </w:tcBorders>
            <w:vAlign w:val="center"/>
          </w:tcPr>
          <w:p w14:paraId="72B8A6F1">
            <w:pPr>
              <w:pStyle w:val="92"/>
              <w:jc w:val="center"/>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主要功能配置及技术指标要求</w:t>
            </w:r>
          </w:p>
        </w:tc>
        <w:tc>
          <w:tcPr>
            <w:tcW w:w="709" w:type="dxa"/>
            <w:tcBorders>
              <w:top w:val="single" w:color="auto" w:sz="6" w:space="0"/>
              <w:left w:val="single" w:color="auto" w:sz="6" w:space="0"/>
              <w:bottom w:val="single" w:color="auto" w:sz="6" w:space="0"/>
              <w:right w:val="single" w:color="auto" w:sz="6" w:space="0"/>
            </w:tcBorders>
            <w:vAlign w:val="center"/>
          </w:tcPr>
          <w:p w14:paraId="0DC4F9E7">
            <w:pPr>
              <w:pStyle w:val="92"/>
              <w:jc w:val="center"/>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数量</w:t>
            </w:r>
          </w:p>
        </w:tc>
        <w:tc>
          <w:tcPr>
            <w:tcW w:w="709" w:type="dxa"/>
            <w:tcBorders>
              <w:top w:val="single" w:color="auto" w:sz="6" w:space="0"/>
              <w:left w:val="nil"/>
              <w:bottom w:val="single" w:color="auto" w:sz="6" w:space="0"/>
              <w:right w:val="single" w:color="auto" w:sz="6" w:space="0"/>
            </w:tcBorders>
            <w:vAlign w:val="center"/>
          </w:tcPr>
          <w:p w14:paraId="613B7CB3">
            <w:pPr>
              <w:pStyle w:val="92"/>
              <w:jc w:val="center"/>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数量单位</w:t>
            </w:r>
          </w:p>
        </w:tc>
      </w:tr>
      <w:tr w14:paraId="5BC4EA2E">
        <w:tblPrEx>
          <w:tblCellMar>
            <w:top w:w="0" w:type="dxa"/>
            <w:left w:w="10" w:type="dxa"/>
            <w:bottom w:w="0" w:type="dxa"/>
            <w:right w:w="10" w:type="dxa"/>
          </w:tblCellMar>
        </w:tblPrEx>
        <w:trPr>
          <w:trHeight w:val="495" w:hRule="atLeast"/>
        </w:trPr>
        <w:tc>
          <w:tcPr>
            <w:tcW w:w="708" w:type="dxa"/>
            <w:tcBorders>
              <w:top w:val="single" w:color="auto" w:sz="6" w:space="0"/>
              <w:left w:val="single" w:color="auto" w:sz="6" w:space="0"/>
              <w:bottom w:val="single" w:color="auto" w:sz="6" w:space="0"/>
              <w:right w:val="single" w:color="auto" w:sz="6" w:space="0"/>
            </w:tcBorders>
            <w:vAlign w:val="center"/>
          </w:tcPr>
          <w:p w14:paraId="5E1FB70F">
            <w:pPr>
              <w:pStyle w:val="92"/>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1</w:t>
            </w:r>
          </w:p>
        </w:tc>
        <w:tc>
          <w:tcPr>
            <w:tcW w:w="1418" w:type="dxa"/>
            <w:tcBorders>
              <w:top w:val="single" w:color="auto" w:sz="6" w:space="0"/>
              <w:left w:val="nil"/>
              <w:bottom w:val="single" w:color="auto" w:sz="6" w:space="0"/>
              <w:right w:val="single" w:color="auto" w:sz="6" w:space="0"/>
            </w:tcBorders>
            <w:vAlign w:val="center"/>
          </w:tcPr>
          <w:p w14:paraId="21F06A48">
            <w:pPr>
              <w:pStyle w:val="92"/>
              <w:jc w:val="center"/>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移动多生物特征信息采集仪</w:t>
            </w:r>
          </w:p>
        </w:tc>
        <w:tc>
          <w:tcPr>
            <w:tcW w:w="5386" w:type="dxa"/>
            <w:tcBorders>
              <w:top w:val="single" w:color="auto" w:sz="6" w:space="0"/>
              <w:left w:val="nil"/>
              <w:bottom w:val="single" w:color="auto" w:sz="6" w:space="0"/>
              <w:right w:val="single" w:color="auto" w:sz="6" w:space="0"/>
            </w:tcBorders>
            <w:vAlign w:val="center"/>
          </w:tcPr>
          <w:p w14:paraId="658BCE09">
            <w:pPr>
              <w:pStyle w:val="92"/>
              <w:numPr>
                <w:ilvl w:val="0"/>
                <w:numId w:val="14"/>
              </w:numPr>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主机</w:t>
            </w:r>
            <w:r>
              <w:rPr>
                <w:rFonts w:hint="eastAsia" w:ascii="宋体" w:hAnsi="宋体" w:eastAsia="宋体" w:cs="宋体"/>
                <w:color w:val="000000" w:themeColor="text1"/>
                <w:sz w:val="21"/>
                <w:szCs w:val="21"/>
                <w:lang w:val="en-US" w:eastAsia="zh-CN"/>
                <w14:textFill>
                  <w14:solidFill>
                    <w14:schemeClr w14:val="tx1"/>
                  </w14:solidFill>
                </w14:textFill>
              </w:rPr>
              <w:t>:</w:t>
            </w:r>
          </w:p>
          <w:p w14:paraId="657E93B6">
            <w:pPr>
              <w:pStyle w:val="92"/>
              <w:numPr>
                <w:ilvl w:val="0"/>
                <w:numId w:val="0"/>
              </w:numPr>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CPU：不低于Intel Core i7</w:t>
            </w:r>
            <w:r>
              <w:rPr>
                <w:rFonts w:hint="eastAsia" w:ascii="宋体" w:hAnsi="宋体" w:eastAsia="宋体" w:cs="宋体"/>
                <w:color w:val="000000" w:themeColor="text1"/>
                <w:sz w:val="21"/>
                <w:szCs w:val="21"/>
                <w:highlight w:val="none"/>
                <w:lang w:val="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AMD R7</w:t>
            </w:r>
            <w:r>
              <w:rPr>
                <w:rFonts w:hint="eastAsia" w:ascii="宋体" w:hAnsi="宋体" w:eastAsia="宋体" w:cs="宋体"/>
                <w:color w:val="000000" w:themeColor="text1"/>
                <w:sz w:val="21"/>
                <w:szCs w:val="21"/>
                <w:lang w:val="zh-CN"/>
                <w14:textFill>
                  <w14:solidFill>
                    <w14:schemeClr w14:val="tx1"/>
                  </w14:solidFill>
                </w14:textFill>
              </w:rPr>
              <w:t xml:space="preserve"> 主频不低于2.8GHz</w:t>
            </w:r>
          </w:p>
          <w:p w14:paraId="677464B5">
            <w:pPr>
              <w:pStyle w:val="92"/>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内存：≥16GB</w:t>
            </w:r>
          </w:p>
          <w:p w14:paraId="12852ABA">
            <w:pPr>
              <w:pStyle w:val="92"/>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硬盘：≥1TB固态硬盘</w:t>
            </w:r>
          </w:p>
          <w:p w14:paraId="1D2AAD7B">
            <w:pPr>
              <w:pStyle w:val="92"/>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电池：不低于10000mAh（满足设备运行状态4小时以上）</w:t>
            </w:r>
          </w:p>
          <w:p w14:paraId="7598E9A1">
            <w:pPr>
              <w:pStyle w:val="92"/>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显示器：≥17英寸液晶屏</w:t>
            </w:r>
          </w:p>
          <w:p w14:paraId="09DC0982">
            <w:pPr>
              <w:pStyle w:val="92"/>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分辨率：≥1920×1080</w:t>
            </w:r>
          </w:p>
          <w:p w14:paraId="112D177D">
            <w:pPr>
              <w:pStyle w:val="92"/>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整机尺寸：不大于420×350×60mm（不含包角和把手）</w:t>
            </w:r>
          </w:p>
          <w:p w14:paraId="2E84EB98">
            <w:pPr>
              <w:pStyle w:val="92"/>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重量：≤7.8kg</w:t>
            </w:r>
          </w:p>
          <w:p w14:paraId="51EC41E4">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2、二代身份证阅读模块</w:t>
            </w:r>
          </w:p>
          <w:p w14:paraId="6FD1746F">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符合《GA450-2013台式居民身份证阅读器通用技术要求》，兼容ISO/IEC14443typeB标准；</w:t>
            </w:r>
          </w:p>
          <w:p w14:paraId="6E45AE58">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最大感应距离≤30mm，阅读时间&lt;1s；</w:t>
            </w:r>
          </w:p>
          <w:p w14:paraId="74A6F1BA">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平均无故障工作时间（MTBF）≥10000小时；</w:t>
            </w:r>
          </w:p>
          <w:p w14:paraId="53A317CD">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3、指纹信息采集模块</w:t>
            </w:r>
          </w:p>
          <w:p w14:paraId="4E644EB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支持采集平面指纹、滚动指纹、四连指指纹、正掌掌纹、侧掌掌纹</w:t>
            </w:r>
          </w:p>
          <w:p w14:paraId="7A06D2BF">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图像尺寸: ≥2750×2750像素</w:t>
            </w:r>
          </w:p>
          <w:p w14:paraId="3E9B3D63">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采集窗口: ≥139mmx139mm</w:t>
            </w:r>
          </w:p>
          <w:p w14:paraId="3789441B">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图像分辨率: ≥500DPI</w:t>
            </w:r>
          </w:p>
          <w:p w14:paraId="421FAE44">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4、人脸信息采集模块</w:t>
            </w:r>
          </w:p>
          <w:p w14:paraId="45D1A9A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不低于500W像素CMOS摄像头</w:t>
            </w:r>
          </w:p>
          <w:p w14:paraId="3C8FA41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传感器尺寸：不低于1/2.5" CMOS彩色；</w:t>
            </w:r>
          </w:p>
          <w:p w14:paraId="2A437E57">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有效像素：不低于2560×1536</w:t>
            </w:r>
          </w:p>
          <w:p w14:paraId="7A5CAE4A">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像素点大小：不低于2.2μm×2.2μm</w:t>
            </w:r>
          </w:p>
          <w:p w14:paraId="4FDFD1A0">
            <w:pPr>
              <w:pStyle w:val="92"/>
              <w:jc w:val="left"/>
              <w:rPr>
                <w:rFonts w:hint="eastAsia" w:ascii="宋体" w:hAnsi="宋体" w:eastAsia="宋体" w:cs="宋体"/>
                <w:color w:val="000000" w:themeColor="text1"/>
                <w:sz w:val="21"/>
                <w:szCs w:val="21"/>
                <w:highlight w:val="yellow"/>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数据接口:不低于USB2.0</w:t>
            </w:r>
          </w:p>
          <w:p w14:paraId="4F06264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5、二代身份证阅读模块</w:t>
            </w:r>
          </w:p>
          <w:p w14:paraId="1CC99BC6">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符合《GA450-2013台式居民身份证阅读器通用技术要求》;最大感应距离≤30mm,阅读时间&lt;1s,阅读时间平均无故障工作时间(MTBF)≥5000小时;</w:t>
            </w:r>
          </w:p>
          <w:p w14:paraId="17258926">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6、声纹信息采集模块(选配)</w:t>
            </w:r>
          </w:p>
          <w:p w14:paraId="5A73BA57">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采集设备和数据格式符合公安部《声纹采集数据终端技术要求》</w:t>
            </w:r>
          </w:p>
          <w:p w14:paraId="787397F1">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7、虹膜信息采集模块(选配)</w:t>
            </w:r>
          </w:p>
          <w:p w14:paraId="5057098A">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采集设备及数据格式符合公安部《用于刑事侦查业务的虹膜采集设备技术要求》</w:t>
            </w:r>
          </w:p>
          <w:p w14:paraId="2F122A67">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 、信息采集总体要求</w:t>
            </w:r>
          </w:p>
          <w:p w14:paraId="50215B91">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1.1采集流程设置应科学合理，操作简单，效率高；</w:t>
            </w:r>
          </w:p>
          <w:p w14:paraId="00C45EF6">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1.2可通过流程图或表格的形式展现采集进度；</w:t>
            </w:r>
          </w:p>
          <w:p w14:paraId="2E61E82A">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1.3具有对采集信息提交归档前的缺项自动检查功能，防止出现采集缺项，确保所有采集项采集完整；</w:t>
            </w:r>
          </w:p>
          <w:p w14:paraId="3FB100B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1.4自动生成唯一人员编号，人员编号长度为 23 位，具体格式为:R+单位代码（12位）+年（4 位）+月（2 位）+顺序号（4 位）。</w:t>
            </w:r>
          </w:p>
          <w:p w14:paraId="3E2276B6">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1.5提供断点续采、数据暂存等功能，防止因网络、硬件故障等原因造成采集中断、数据丢失等问题。</w:t>
            </w:r>
          </w:p>
          <w:p w14:paraId="102F44EC">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 、人员基本信息采集</w:t>
            </w:r>
          </w:p>
          <w:p w14:paraId="44FE9EFF">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2.1应支持采集人员基本信息录入，采集的人员基本信息须包含人员姓名、性别、民族、出生日期、住址、证件类别、证件号码、身份证照片、户籍地、现住地、文化程度、职业、人员类别、采集原因、采集地点、采集单位、采集时间、采集人等。</w:t>
            </w:r>
          </w:p>
          <w:p w14:paraId="0E11C54F">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2.2应支持通过二代证阅读器读取二代证中的身份证号、人员姓名、性别、民族、出生日期、住址、身份证照片信息等。</w:t>
            </w:r>
          </w:p>
          <w:p w14:paraId="7A37A76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2.3应能手动填写公民身份证号码，可自动校验公民身份证号码的合法性。</w:t>
            </w:r>
          </w:p>
          <w:p w14:paraId="5BA08065">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2.4支持对被采集人的其他有效身份证件信息手动采集，包含临时身份证、护照、军官证、士兵证等。</w:t>
            </w:r>
          </w:p>
          <w:p w14:paraId="644B6E9B">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2.5应能通过公民身份证号码查询采集记录。</w:t>
            </w:r>
          </w:p>
          <w:p w14:paraId="1755E4EC">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2.6应能自动生成人员编号。</w:t>
            </w:r>
          </w:p>
          <w:p w14:paraId="2601EE0C">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2.7在连接公安网的情况下，应具备基本信息的自动查询比对功能，经本系统采集上报的各类人员信息，能够向后台各专业比对系统发起主动比对，如指掌纹自动识别系统、全国公安机关 DNA 数据库等。</w:t>
            </w:r>
          </w:p>
          <w:p w14:paraId="24F94221">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3、指掌纹信息采集</w:t>
            </w:r>
          </w:p>
          <w:p w14:paraId="331E4784">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3.1支持采集人员的十指平面指纹、滚动指纹和掌纹，提供规范的指掌纹采集流程，按照十指平面指纹、三面滚动指纹的顺序进行采集。</w:t>
            </w:r>
          </w:p>
          <w:p w14:paraId="505CA063">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3.2具备指掌纹质量自动判断功能，对不符合捺印质量要求的指纹有重新采集的提示。</w:t>
            </w:r>
          </w:p>
          <w:p w14:paraId="2D54BDD7">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 xml:space="preserve">▲3.3应在软件界面中显示指纹图像质量评价分数，提示是否合格、质量不合格时采集到设定的次数后，可以强制通过，不合格原因可设置为手指变形、脱皮、严重磨损、手指受伤、设备原因、图像质量评价分数不准确等； </w:t>
            </w:r>
          </w:p>
          <w:p w14:paraId="4EE2DF9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3.4具有指纹特征点显示功能。</w:t>
            </w:r>
          </w:p>
          <w:p w14:paraId="73E6B575">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 xml:space="preserve">▲3.5可设置指纹为缺指； </w:t>
            </w:r>
          </w:p>
          <w:p w14:paraId="66C51F15">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3.6应具备指纹一致性校验功能，对滚动指纹图像和平面指纹图像进行一致性校验。</w:t>
            </w:r>
          </w:p>
          <w:p w14:paraId="73DEC662">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3.7应具备指纹重复性校验功能，对滚动指纹图像和平面指纹图像进行重复性校验。</w:t>
            </w:r>
          </w:p>
          <w:p w14:paraId="3539DB25">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3.8可对以采集完成的指纹进行重新采集。</w:t>
            </w:r>
          </w:p>
          <w:p w14:paraId="2E7B668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3.9单指采集完成应显示指纹缩略图，可点击打开大图预览窗口，显示当前指纹图像及指位、图像质量评价分数、不合格原因（合格指纹不显示）</w:t>
            </w:r>
          </w:p>
          <w:p w14:paraId="370CC1CF">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 xml:space="preserve">▲3.10如果身份证中含有指纹信息，需要将滚动指纹与身份证中指纹信息进行人证核验，验证未通过时应在软件界面中提示； </w:t>
            </w:r>
          </w:p>
          <w:p w14:paraId="038263EC">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3.11采集过程中应有语音提示，包括：请捺印…指位、质量不合格、重新捺印、请选择不合格原因等。</w:t>
            </w:r>
          </w:p>
          <w:p w14:paraId="1F46FFA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▲3.12应支持指纹标准格式导出，指纹信息交换文件格式应符合《指掌纹信息交换文件格式技术规范（版本5.0）》要求。</w:t>
            </w:r>
          </w:p>
          <w:p w14:paraId="5A4F40F6">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4 、手机信息采集</w:t>
            </w:r>
          </w:p>
          <w:p w14:paraId="3082E585">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4.1支持 采集手机内通讯录、通话记录、短信等机身信息；</w:t>
            </w:r>
          </w:p>
          <w:p w14:paraId="1DBAAF8C">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4.2支持采集手机基本信息采集：机主信息、本机号码、IMEI（国际移动设备标识符）、IMSI（用户标识符）、ICCID（IC 卡标识号）；</w:t>
            </w:r>
          </w:p>
          <w:p w14:paraId="4C0E7655">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4.3支持采集手机内彩信、即时通信（手机 QQ）、上网日志等网络相关信息；</w:t>
            </w:r>
          </w:p>
          <w:p w14:paraId="11D6534C">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5、DNA 信息采集</w:t>
            </w:r>
          </w:p>
          <w:p w14:paraId="2A481DAC">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5.1根据 DNA 查重结果，对需要采集 DNA 信息的采集血样，可通过电脑自动生成唯一编号、条形编码和样品信息表，利用激光打印机将上述信息在血样袋上自动打印，打印格式及内容须符合采购人要求；</w:t>
            </w:r>
          </w:p>
          <w:p w14:paraId="4685D9BE">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5.2可以够通过条码阅读器自动读取DNA条码。</w:t>
            </w:r>
          </w:p>
          <w:p w14:paraId="2EF47303">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6、人像信息采集</w:t>
            </w:r>
          </w:p>
          <w:p w14:paraId="03AD7101">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6.1应能现场采集数字照片并传输，采集到的人像应清晰，层次丰富，无明显畸变。数字相片规格、颜色模式、压缩方式、头像大小及位置应符合GA/T706-2007中的要求。</w:t>
            </w:r>
          </w:p>
          <w:p w14:paraId="13EE9204">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▲6.2应采集3张人像照片，正面人像1张、左侧面人像1张、右侧面人像一张；可存储1张正面人像裁剪后的人脸图像，图像应符合GA/T1324 2017《静态人脸图像采集规范》中要求，也可手动调整人像裁剪位置。</w:t>
            </w:r>
          </w:p>
          <w:p w14:paraId="5AE25856">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6.3应支持人像照片导入功能。</w:t>
            </w:r>
          </w:p>
          <w:p w14:paraId="44212022">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▲6.4应具备人像人证核验功能：可以通过拍摄的人像信息与二代居民身份证保留的人像信息进行比对，显示人证核验结果，验证未通过时，应在软件界面中显示人证核验未通过。</w:t>
            </w:r>
          </w:p>
          <w:p w14:paraId="12B9702E">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6.5采集模式应符合GA/T706-2007中的要求，正面人像应自动生成人像电子胸牌，侧面人像可选择是否生成电子胸牌。</w:t>
            </w:r>
          </w:p>
          <w:p w14:paraId="46F96A2B">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▲6.6应在软件界面中显示人像图像质量评价分数，判断人像图片质量是否合格。</w:t>
            </w:r>
          </w:p>
          <w:p w14:paraId="2BEE8938">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▲6.7在复杂背景图像环境下，具有基于眼睛定位方法的人脸自动检测和定位功能，实现标准正面人像图片自动裁剪。</w:t>
            </w:r>
          </w:p>
          <w:p w14:paraId="6B0F422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7、为保证系统发挥最大的采比反业务应用，投标文件须提供人员信息一体化采集系统能够与以下系统数据共享的证明材料和可行的详细技术方案：</w:t>
            </w:r>
          </w:p>
          <w:p w14:paraId="39D5B99E">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▲7.1在连接公安网情况下，系统须接入吉林省一体化采集管理系统，实现采集数据信息查询和数据共享；</w:t>
            </w:r>
          </w:p>
          <w:p w14:paraId="39C663D6">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▲7.2在连接公安网情况下，系统须接入吉林省厅刑侦信息专业应用系统，实现数据上报、转发存储及信息共享，满足省厅对采集数据统一汇总上报的考核要求；</w:t>
            </w:r>
          </w:p>
          <w:p w14:paraId="008EE31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▲7.3在连接公安网情况下，系统须接入全国公安机关 DNA 数据库系统，实现人员信息入库 DNA 数据库系统，并实现人员信息比对查重功能，避免 DNA 信息重复录入。</w:t>
            </w:r>
          </w:p>
          <w:p w14:paraId="5B190D65">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二、人像采集单元：</w:t>
            </w:r>
          </w:p>
          <w:p w14:paraId="37EF090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1、数码相机可根据人员身高手动调整高度,具有脸部跟踪对焦、中央对焦模式，与计算机连接实时预览取景动态图像，便于确定位置构图；</w:t>
            </w:r>
          </w:p>
          <w:p w14:paraId="19CD399A">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2、可在计算机上发布指令实现全自动拍摄，通过计算机控制手动设置参数拍摄；</w:t>
            </w:r>
          </w:p>
          <w:p w14:paraId="2E16EBA0">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3、人像采集数码相机有效像</w:t>
            </w:r>
            <w:r>
              <w:rPr>
                <w:rFonts w:hint="eastAsia" w:ascii="宋体" w:hAnsi="宋体" w:eastAsia="宋体" w:cs="宋体"/>
                <w:color w:val="000000" w:themeColor="text1"/>
                <w:sz w:val="21"/>
                <w:szCs w:val="21"/>
                <w:highlight w:val="none"/>
                <w:u w:val="none"/>
                <w:lang w:val="zh-CN"/>
                <w14:textFill>
                  <w14:solidFill>
                    <w14:schemeClr w14:val="tx1"/>
                  </w14:solidFill>
                </w14:textFill>
              </w:rPr>
              <w:t>素：</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2400万；</w:t>
            </w:r>
          </w:p>
          <w:p w14:paraId="12843BF4">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4、传感器类型 CMOS，传感器尺寸：</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不低于标准</w:t>
            </w:r>
            <w:r>
              <w:rPr>
                <w:rFonts w:hint="eastAsia" w:ascii="宋体" w:hAnsi="宋体" w:eastAsia="宋体" w:cs="宋体"/>
                <w:color w:val="000000" w:themeColor="text1"/>
                <w:sz w:val="21"/>
                <w:szCs w:val="21"/>
                <w:highlight w:val="none"/>
                <w:u w:val="none"/>
                <w:lang w:val="zh-CN"/>
                <w14:textFill>
                  <w14:solidFill>
                    <w14:schemeClr w14:val="tx1"/>
                  </w14:solidFill>
                </w14:textFill>
              </w:rPr>
              <w:t>APS</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-C尺寸</w:t>
            </w:r>
            <w:r>
              <w:rPr>
                <w:rFonts w:hint="eastAsia" w:ascii="宋体" w:hAnsi="宋体" w:eastAsia="宋体" w:cs="宋体"/>
                <w:color w:val="000000" w:themeColor="text1"/>
                <w:sz w:val="21"/>
                <w:szCs w:val="21"/>
                <w:highlight w:val="none"/>
                <w:u w:val="none"/>
                <w:lang w:val="zh-CN"/>
                <w14:textFill>
                  <w14:solidFill>
                    <w14:schemeClr w14:val="tx1"/>
                  </w14:solidFill>
                </w14:textFill>
              </w:rPr>
              <w:t>；最高分辨率</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 xml:space="preserve"> 6000</w:t>
            </w:r>
            <w:r>
              <w:rPr>
                <w:rFonts w:hint="eastAsia" w:ascii="宋体" w:hAnsi="宋体" w:eastAsia="宋体" w:cs="宋体"/>
                <w:color w:val="000000" w:themeColor="text1"/>
                <w:sz w:val="21"/>
                <w:szCs w:val="21"/>
                <w:u w:val="none"/>
                <w:lang w:val="zh-CN"/>
                <w14:textFill>
                  <w14:solidFill>
                    <w14:schemeClr w14:val="tx1"/>
                  </w14:solidFill>
                </w14:textFill>
              </w:rPr>
              <w:t>×4000,焦段覆盖15mm-45mm；</w:t>
            </w:r>
          </w:p>
          <w:p w14:paraId="652E91C1">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5、对焦方式：支持自动对焦、支持智能面部优先，支持自动跟踪对焦；</w:t>
            </w:r>
          </w:p>
          <w:p w14:paraId="26477306">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6、人像信息采集软件主要功能：</w:t>
            </w:r>
          </w:p>
          <w:p w14:paraId="41758154">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能现场采集数字照片并传输，采集到的人像清晰，层次丰富，无明显畸变。数字相片规格、颜色模式、压缩方式、头像大小及位置符合GA/T706-2007中的要求。</w:t>
            </w:r>
          </w:p>
          <w:p w14:paraId="34F8DA5B">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采集3张人像照片，正面人像1张、左侧面人像1张、右侧面人像一张；可存储1张正面人像裁剪后的人脸图像，图像符合GA/T1324 2017《静态人脸图像采集规范》中要求，也可手动调整人像裁剪位置。</w:t>
            </w:r>
          </w:p>
          <w:p w14:paraId="717B05BC">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支持人像照片导入功能。</w:t>
            </w:r>
          </w:p>
          <w:p w14:paraId="47E0E2CA">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具备人像人证核验功能：可以通过拍摄的人像信息与二代居民身份证保留的人像信息进行比对，显示人证核验结果，验证未通过时，可在软件界面中显示人证核验未通过。</w:t>
            </w:r>
          </w:p>
          <w:p w14:paraId="1A41BAA3">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采集模式符合GA/T706-2007中的要求，正面人像自动生成人像电子胸牌，侧面人像可选择是否生成电子胸牌。</w:t>
            </w:r>
          </w:p>
          <w:p w14:paraId="60C7104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可在软件界面中显示人像图像质量评价分数，判断人像图片质量是否合格。</w:t>
            </w:r>
          </w:p>
          <w:p w14:paraId="7BF5BFF2">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在复杂背景图像环境下，具有基于眼睛定位方法的人脸自动检测和定位功能，实现标准正面人像图片自动裁剪。</w:t>
            </w:r>
          </w:p>
          <w:p w14:paraId="1AD4109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三、足迹采集单元：</w:t>
            </w:r>
          </w:p>
          <w:p w14:paraId="13C729C7">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鞋底图像</w:t>
            </w:r>
          </w:p>
          <w:p w14:paraId="5EAC5448">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图</w:t>
            </w:r>
            <w:r>
              <w:rPr>
                <w:rFonts w:hint="eastAsia" w:ascii="宋体" w:hAnsi="宋体" w:eastAsia="宋体" w:cs="宋体"/>
                <w:color w:val="000000" w:themeColor="text1"/>
                <w:sz w:val="21"/>
                <w:szCs w:val="21"/>
                <w:highlight w:val="none"/>
                <w:u w:val="none"/>
                <w:lang w:val="zh-CN"/>
                <w14:textFill>
                  <w14:solidFill>
                    <w14:schemeClr w14:val="tx1"/>
                  </w14:solidFill>
                </w14:textFill>
              </w:rPr>
              <w:t>像高度：</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35 cm</w:t>
            </w:r>
          </w:p>
          <w:p w14:paraId="2A1E8330">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图像宽度：</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15 cm</w:t>
            </w:r>
          </w:p>
          <w:p w14:paraId="60AA78FA">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图像分辨率：</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300 DPI（每英寸像素数）</w:t>
            </w:r>
          </w:p>
          <w:p w14:paraId="3E16D420">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图像尺寸：</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1934 × 4134 像素</w:t>
            </w:r>
          </w:p>
          <w:p w14:paraId="13B2367F">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图像色彩模式：RGB</w:t>
            </w:r>
          </w:p>
          <w:p w14:paraId="1568A727">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动态范围：≥150级（标准灰度等级）</w:t>
            </w:r>
          </w:p>
          <w:p w14:paraId="5053051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图像综合畸变≤1%</w:t>
            </w:r>
          </w:p>
          <w:p w14:paraId="1EB42468">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鞋帮面图像</w:t>
            </w:r>
          </w:p>
          <w:p w14:paraId="0E118D4D">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图像采集角度：支持外侧、内侧、斜前侧、斜后侧四个角度同时采集</w:t>
            </w:r>
          </w:p>
          <w:p w14:paraId="7601C916">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图像</w:t>
            </w:r>
            <w:r>
              <w:rPr>
                <w:rFonts w:hint="eastAsia" w:ascii="宋体" w:hAnsi="宋体" w:eastAsia="宋体" w:cs="宋体"/>
                <w:color w:val="000000" w:themeColor="text1"/>
                <w:sz w:val="21"/>
                <w:szCs w:val="21"/>
                <w:highlight w:val="none"/>
                <w:u w:val="none"/>
                <w:lang w:val="zh-CN"/>
                <w14:textFill>
                  <w14:solidFill>
                    <w14:schemeClr w14:val="tx1"/>
                  </w14:solidFill>
                </w14:textFill>
              </w:rPr>
              <w:t>尺寸：</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1280× 720 像素（符合标准高清图像要求）</w:t>
            </w:r>
          </w:p>
          <w:p w14:paraId="79705D2C">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图像色彩模式：RGB</w:t>
            </w:r>
          </w:p>
          <w:p w14:paraId="60FF82B2">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帧率：</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30帧</w:t>
            </w:r>
          </w:p>
          <w:p w14:paraId="2A6B5184">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采集方向</w:t>
            </w:r>
          </w:p>
          <w:p w14:paraId="78C88FDE">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支持双向采集：正向与反向图像采集</w:t>
            </w:r>
          </w:p>
          <w:p w14:paraId="636C946A">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接口类型：</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USB3.0接口</w:t>
            </w:r>
          </w:p>
          <w:p w14:paraId="709A637A">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操作系统：支持Windows 7及以上版本，以及中标麒麟、统信</w:t>
            </w:r>
            <w:r>
              <w:rPr>
                <w:rFonts w:hint="eastAsia" w:ascii="宋体" w:hAnsi="宋体" w:eastAsia="宋体" w:cs="宋体"/>
                <w:color w:val="000000" w:themeColor="text1"/>
                <w:sz w:val="21"/>
                <w:szCs w:val="21"/>
                <w:highlight w:val="none"/>
                <w:u w:val="none"/>
                <w:lang w:val="zh-CN"/>
                <w14:textFill>
                  <w14:solidFill>
                    <w14:schemeClr w14:val="tx1"/>
                  </w14:solidFill>
                </w14:textFill>
              </w:rPr>
              <w:t>等国产化自主操作系统</w:t>
            </w:r>
          </w:p>
          <w:p w14:paraId="41E1042C">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电源：</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不高于</w:t>
            </w:r>
            <w:r>
              <w:rPr>
                <w:rFonts w:hint="eastAsia" w:ascii="宋体" w:hAnsi="宋体" w:eastAsia="宋体" w:cs="宋体"/>
                <w:color w:val="000000" w:themeColor="text1"/>
                <w:sz w:val="21"/>
                <w:szCs w:val="21"/>
                <w:highlight w:val="none"/>
                <w:u w:val="none"/>
                <w:lang w:val="zh-CN"/>
                <w14:textFill>
                  <w14:solidFill>
                    <w14:schemeClr w14:val="tx1"/>
                  </w14:solidFill>
                </w14:textFill>
              </w:rPr>
              <w:t>DC 24V/2.5A 直流电源输入</w:t>
            </w:r>
          </w:p>
          <w:p w14:paraId="198D9B11">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设备尺寸：</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不大于</w:t>
            </w:r>
            <w:r>
              <w:rPr>
                <w:rFonts w:hint="eastAsia" w:ascii="宋体" w:hAnsi="宋体" w:eastAsia="宋体" w:cs="宋体"/>
                <w:color w:val="000000" w:themeColor="text1"/>
                <w:sz w:val="21"/>
                <w:szCs w:val="21"/>
                <w:highlight w:val="none"/>
                <w:u w:val="none"/>
                <w:lang w:val="zh-CN"/>
                <w14:textFill>
                  <w14:solidFill>
                    <w14:schemeClr w14:val="tx1"/>
                  </w14:solidFill>
                </w14:textFill>
              </w:rPr>
              <w:t>426 × 402 × 254（单位：毫米）</w:t>
            </w:r>
          </w:p>
          <w:p w14:paraId="3AA556FD">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设备重量：</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不高于</w:t>
            </w:r>
            <w:r>
              <w:rPr>
                <w:rFonts w:hint="eastAsia" w:ascii="宋体" w:hAnsi="宋体" w:eastAsia="宋体" w:cs="宋体"/>
                <w:color w:val="000000" w:themeColor="text1"/>
                <w:sz w:val="21"/>
                <w:szCs w:val="21"/>
                <w:highlight w:val="none"/>
                <w:u w:val="none"/>
                <w:lang w:val="zh-CN"/>
                <w14:textFill>
                  <w14:solidFill>
                    <w14:schemeClr w14:val="tx1"/>
                  </w14:solidFill>
                </w14:textFill>
              </w:rPr>
              <w:t>16.5kg</w:t>
            </w:r>
          </w:p>
          <w:p w14:paraId="3F0B4530">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四、声纹采集单元：</w:t>
            </w:r>
          </w:p>
          <w:p w14:paraId="4F2CF268">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支持与一体化采集客户端软件无缝集成并完全兼容应用，实现声纹信息一体化采集和数据上报。具体参数配置如下：</w:t>
            </w:r>
          </w:p>
          <w:p w14:paraId="1F4068BB">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采集设备参数：</w:t>
            </w:r>
          </w:p>
          <w:p w14:paraId="2CE6BB5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1.支持交谈询问模式采集，语音打断和插话不影响声纹数据采集。</w:t>
            </w:r>
          </w:p>
          <w:p w14:paraId="06AEB926">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2.支持16k采样率，16位量化精度，无压缩编码wav声纹数据录制，满足公安部声纹数据格式要求。</w:t>
            </w:r>
          </w:p>
          <w:p w14:paraId="707A68E5">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3.支持远场和近场声纹数据采集，有效采集距离≥80厘米。</w:t>
            </w:r>
          </w:p>
          <w:p w14:paraId="69C59A17">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4.定向采集目标人方向语音，问答时准确分离出目标人声，隔离环境噪声。</w:t>
            </w:r>
          </w:p>
          <w:p w14:paraId="4F036993">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5.采集器通过高灵敏麦克风能够实现</w:t>
            </w:r>
            <w:r>
              <w:rPr>
                <w:rFonts w:hint="eastAsia" w:ascii="宋体" w:hAnsi="宋体" w:eastAsia="宋体" w:cs="宋体"/>
                <w:color w:val="000000" w:themeColor="text1"/>
                <w:sz w:val="21"/>
                <w:szCs w:val="21"/>
                <w:u w:val="none"/>
                <w:lang w:val="en-US" w:eastAsia="zh-CN"/>
                <w14:textFill>
                  <w14:solidFill>
                    <w14:schemeClr w14:val="tx1"/>
                  </w14:solidFill>
                </w14:textFill>
              </w:rPr>
              <w:t>不代于4</w:t>
            </w:r>
            <w:r>
              <w:rPr>
                <w:rFonts w:hint="eastAsia" w:ascii="宋体" w:hAnsi="宋体" w:eastAsia="宋体" w:cs="宋体"/>
                <w:color w:val="000000" w:themeColor="text1"/>
                <w:sz w:val="21"/>
                <w:szCs w:val="21"/>
                <w:u w:val="none"/>
                <w:lang w:val="zh-CN"/>
                <w14:textFill>
                  <w14:solidFill>
                    <w14:schemeClr w14:val="tx1"/>
                  </w14:solidFill>
                </w14:textFill>
              </w:rPr>
              <w:t>个语音通道的同步采集。</w:t>
            </w:r>
          </w:p>
          <w:p w14:paraId="5A658F4D">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6.产品同心圆麦克风阵列设计，具备多尺度和多孔径空间采样，优化定向采集及人声分离的采集效果。</w:t>
            </w:r>
          </w:p>
          <w:p w14:paraId="45188A5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7.LED灯实时指示声源方位。</w:t>
            </w:r>
          </w:p>
          <w:p w14:paraId="1D369A5E">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8.采用USB供电，供电电压5VDC，最大工作电流不应超过500mA。</w:t>
            </w:r>
          </w:p>
          <w:p w14:paraId="2B6647D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9.连接线材可更换，灵活的数据连接设计，可适应不同的应用场景。</w:t>
            </w:r>
          </w:p>
          <w:p w14:paraId="0A9F40C1">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10.环境温度范围: -20~60°C。</w:t>
            </w:r>
          </w:p>
          <w:p w14:paraId="69FDBC2F">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采集功能：</w:t>
            </w:r>
          </w:p>
          <w:p w14:paraId="31BDF6A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1.采集数据符合公安部声纹采集标准。</w:t>
            </w:r>
          </w:p>
          <w:p w14:paraId="5FBE341D">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2.语音活动检测：具有语音活动检测功能。</w:t>
            </w:r>
          </w:p>
          <w:p w14:paraId="7F3E1FDB">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3.有效时长检测：具有有效时长检测功能，具有实时录音质量信息反馈，有效语音时长≥2min。</w:t>
            </w:r>
          </w:p>
          <w:p w14:paraId="16BEF152">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4.录制音频可回放。</w:t>
            </w:r>
          </w:p>
          <w:p w14:paraId="25DE59FE">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5.系统部署在公安内网，对接人员信息一体化采集系统，信息自动关联。</w:t>
            </w:r>
          </w:p>
          <w:p w14:paraId="4C29ED13">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6.采集的声纹数据可以同步到公安部国家声纹库中存储。</w:t>
            </w:r>
          </w:p>
          <w:p w14:paraId="2F9C0F84">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五、虹膜采集单元：</w:t>
            </w:r>
          </w:p>
          <w:p w14:paraId="6286B73C">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支持与一体化采集客户端软件无缝集成并完全兼容应用，实现虹膜信息一体化采集和数据上报。具体参数如下：</w:t>
            </w:r>
          </w:p>
          <w:p w14:paraId="11D7D5E9">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硬</w:t>
            </w:r>
            <w:r>
              <w:rPr>
                <w:rFonts w:hint="eastAsia" w:ascii="宋体" w:hAnsi="宋体" w:eastAsia="宋体" w:cs="宋体"/>
                <w:color w:val="000000" w:themeColor="text1"/>
                <w:sz w:val="21"/>
                <w:szCs w:val="21"/>
                <w:highlight w:val="none"/>
                <w:u w:val="none"/>
                <w:lang w:val="zh-CN"/>
                <w14:textFill>
                  <w14:solidFill>
                    <w14:schemeClr w14:val="tx1"/>
                  </w14:solidFill>
                </w14:textFill>
              </w:rPr>
              <w:t>件参数：</w:t>
            </w:r>
          </w:p>
          <w:p w14:paraId="2B0CD6B4">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1.产品尺寸：</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不大于</w:t>
            </w:r>
            <w:r>
              <w:rPr>
                <w:rFonts w:hint="eastAsia" w:ascii="宋体" w:hAnsi="宋体" w:eastAsia="宋体" w:cs="宋体"/>
                <w:color w:val="000000" w:themeColor="text1"/>
                <w:sz w:val="21"/>
                <w:szCs w:val="21"/>
                <w:highlight w:val="none"/>
                <w:u w:val="none"/>
                <w:lang w:val="zh-CN"/>
                <w14:textFill>
                  <w14:solidFill>
                    <w14:schemeClr w14:val="tx1"/>
                  </w14:solidFill>
                </w14:textFill>
              </w:rPr>
              <w:t>241*146*73mm</w:t>
            </w:r>
          </w:p>
          <w:p w14:paraId="04B598F3">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2.虹膜摄像头：</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双130万像素虹膜摄像头</w:t>
            </w:r>
          </w:p>
          <w:p w14:paraId="2436E2A3">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3.图像分辨率：</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640*480</w:t>
            </w:r>
          </w:p>
          <w:p w14:paraId="650BF1B9">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4.传输速率：</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7帧/秒</w:t>
            </w:r>
          </w:p>
          <w:p w14:paraId="6BDC2B19">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5.注册速度：≤2s</w:t>
            </w:r>
          </w:p>
          <w:p w14:paraId="44DA87AE">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6.匹配速度≤0.3s</w:t>
            </w:r>
          </w:p>
          <w:p w14:paraId="2785B4C0">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7.工作距离：</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15cm</w:t>
            </w:r>
          </w:p>
          <w:p w14:paraId="6E3F7B8F">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8.通讯接口：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标准 USB2.0 接口，即插即用</w:t>
            </w:r>
          </w:p>
          <w:p w14:paraId="3A907973">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9.采集方式：可采集双眼虹膜图像</w:t>
            </w:r>
          </w:p>
          <w:p w14:paraId="0B6D6F03">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10.使用方式：360度旋转、上下自由拉伸，角度自由调整</w:t>
            </w:r>
          </w:p>
          <w:p w14:paraId="4C5F9C0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11.适用环境：工作温度：-20℃-55℃；工作湿度：25%-85%</w:t>
            </w:r>
          </w:p>
          <w:p w14:paraId="0F4D6C9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12.供电：采用双USB口供电</w:t>
            </w:r>
          </w:p>
          <w:p w14:paraId="37A48B65">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13.电源输入：DC5V@1A</w:t>
            </w:r>
          </w:p>
          <w:p w14:paraId="75F60102">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14.光源安全性符合《灯和灯系统的光生物安全GB/T20145-2006》标准。</w:t>
            </w:r>
          </w:p>
          <w:p w14:paraId="42C85DF2">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采集图像参数：</w:t>
            </w:r>
          </w:p>
          <w:p w14:paraId="45A9104F">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1.虹膜图像格式：BMP。</w:t>
            </w:r>
          </w:p>
          <w:p w14:paraId="49F0C078">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2.虹膜图</w:t>
            </w:r>
            <w:r>
              <w:rPr>
                <w:rFonts w:hint="eastAsia" w:ascii="宋体" w:hAnsi="宋体" w:eastAsia="宋体" w:cs="宋体"/>
                <w:color w:val="000000" w:themeColor="text1"/>
                <w:sz w:val="21"/>
                <w:szCs w:val="21"/>
                <w:highlight w:val="none"/>
                <w:u w:val="none"/>
                <w:lang w:val="zh-CN"/>
                <w14:textFill>
                  <w14:solidFill>
                    <w14:schemeClr w14:val="tx1"/>
                  </w14:solidFill>
                </w14:textFill>
              </w:rPr>
              <w:t>像尺寸：单目虹膜图像</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宽640像素，高480像素。</w:t>
            </w:r>
          </w:p>
          <w:p w14:paraId="002F7F0A">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3.虹膜图像采样分辨率：不小于20 pixel/mm。</w:t>
            </w:r>
          </w:p>
          <w:p w14:paraId="3830688A">
            <w:pPr>
              <w:pStyle w:val="92"/>
              <w:jc w:val="left"/>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4.虹膜图像灰度等级：虹膜图像为灰度图像，</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不低于</w:t>
            </w:r>
            <w:r>
              <w:rPr>
                <w:rFonts w:hint="eastAsia" w:ascii="宋体" w:hAnsi="宋体" w:eastAsia="宋体" w:cs="宋体"/>
                <w:color w:val="000000" w:themeColor="text1"/>
                <w:sz w:val="21"/>
                <w:szCs w:val="21"/>
                <w:highlight w:val="none"/>
                <w:u w:val="none"/>
                <w:lang w:val="zh-CN"/>
                <w14:textFill>
                  <w14:solidFill>
                    <w14:schemeClr w14:val="tx1"/>
                  </w14:solidFill>
                </w14:textFill>
              </w:rPr>
              <w:t>每个像素点位深度8位，即图像中每个像素点灰度量化级256级。</w:t>
            </w:r>
          </w:p>
          <w:p w14:paraId="202C427E">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5.虹膜图像灰度等级利用率：不小于6比特。</w:t>
            </w:r>
          </w:p>
          <w:p w14:paraId="6C0E0F6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6.虹膜图像虹膜半径：不小于100个像素。</w:t>
            </w:r>
          </w:p>
          <w:p w14:paraId="3079C870">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7.虹膜与巩膜对比度：不小于10。</w:t>
            </w:r>
          </w:p>
          <w:p w14:paraId="78152E61">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8.虹膜与瞳孔对比度：不小于30。</w:t>
            </w:r>
          </w:p>
          <w:p w14:paraId="03070648">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9.虹膜有效区域占比：大于60%。</w:t>
            </w:r>
          </w:p>
          <w:p w14:paraId="57286B39">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10.边界裕量：虹膜外边界的拟合圆到虹膜图像上边界、下边界、左边界和右边界的距离分别不小于0.5ri、0.5ri、1.0 ri和1.0 ri，其中ri为虹膜半径。</w:t>
            </w:r>
          </w:p>
          <w:p w14:paraId="444EEAAF">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六、服务：</w:t>
            </w:r>
          </w:p>
          <w:p w14:paraId="68A96117">
            <w:pPr>
              <w:pStyle w:val="92"/>
              <w:jc w:val="left"/>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质保3年，提供5*24小时服务。</w:t>
            </w:r>
          </w:p>
        </w:tc>
        <w:tc>
          <w:tcPr>
            <w:tcW w:w="709" w:type="dxa"/>
            <w:tcBorders>
              <w:top w:val="single" w:color="auto" w:sz="6" w:space="0"/>
              <w:left w:val="single" w:color="auto" w:sz="6" w:space="0"/>
              <w:bottom w:val="single" w:color="auto" w:sz="6" w:space="0"/>
              <w:right w:val="single" w:color="auto" w:sz="6" w:space="0"/>
            </w:tcBorders>
            <w:vAlign w:val="center"/>
          </w:tcPr>
          <w:p w14:paraId="056D7C72">
            <w:pPr>
              <w:pStyle w:val="92"/>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24</w:t>
            </w:r>
          </w:p>
        </w:tc>
        <w:tc>
          <w:tcPr>
            <w:tcW w:w="709" w:type="dxa"/>
            <w:tcBorders>
              <w:top w:val="single" w:color="auto" w:sz="6" w:space="0"/>
              <w:left w:val="nil"/>
              <w:bottom w:val="single" w:color="auto" w:sz="6" w:space="0"/>
              <w:right w:val="single" w:color="auto" w:sz="6" w:space="0"/>
            </w:tcBorders>
            <w:vAlign w:val="center"/>
          </w:tcPr>
          <w:p w14:paraId="6EA99F80">
            <w:pPr>
              <w:pStyle w:val="92"/>
              <w:jc w:val="center"/>
              <w:rPr>
                <w:rFonts w:hint="eastAsia" w:ascii="宋体" w:hAnsi="宋体" w:eastAsia="宋体" w:cs="宋体"/>
                <w:color w:val="000000" w:themeColor="text1"/>
                <w:sz w:val="21"/>
                <w:szCs w:val="21"/>
                <w:u w:val="none"/>
                <w:lang w:val="zh-CN"/>
                <w14:textFill>
                  <w14:solidFill>
                    <w14:schemeClr w14:val="tx1"/>
                  </w14:solidFill>
                </w14:textFill>
              </w:rPr>
            </w:pPr>
            <w:r>
              <w:rPr>
                <w:rFonts w:hint="eastAsia" w:ascii="宋体" w:hAnsi="宋体" w:eastAsia="宋体" w:cs="宋体"/>
                <w:color w:val="000000" w:themeColor="text1"/>
                <w:sz w:val="21"/>
                <w:szCs w:val="21"/>
                <w:u w:val="none"/>
                <w:lang w:val="zh-CN"/>
                <w14:textFill>
                  <w14:solidFill>
                    <w14:schemeClr w14:val="tx1"/>
                  </w14:solidFill>
                </w14:textFill>
              </w:rPr>
              <w:t>套</w:t>
            </w:r>
          </w:p>
        </w:tc>
      </w:tr>
    </w:tbl>
    <w:p w14:paraId="0C6A0204">
      <w:pPr>
        <w:rPr>
          <w:rFonts w:hint="eastAsia" w:ascii="宋体" w:hAnsi="宋体" w:eastAsia="宋体" w:cs="宋体"/>
          <w:b/>
          <w:sz w:val="21"/>
          <w:szCs w:val="21"/>
        </w:rPr>
      </w:pPr>
      <w:r>
        <w:rPr>
          <w:rFonts w:hint="eastAsia" w:ascii="宋体" w:hAnsi="宋体" w:eastAsia="宋体" w:cs="宋体"/>
          <w:b/>
          <w:sz w:val="21"/>
          <w:szCs w:val="21"/>
        </w:rPr>
        <w:t xml:space="preserve">      </w:t>
      </w:r>
    </w:p>
    <w:p w14:paraId="116509D9">
      <w:pPr>
        <w:rPr>
          <w:rFonts w:hint="eastAsia" w:ascii="宋体" w:hAnsi="宋体" w:eastAsia="宋体" w:cs="宋体"/>
          <w:b/>
          <w:color w:val="000000"/>
          <w:sz w:val="21"/>
          <w:szCs w:val="21"/>
          <w:lang w:val="zh-CN"/>
        </w:rPr>
      </w:pPr>
      <w:r>
        <w:rPr>
          <w:rFonts w:hint="eastAsia" w:ascii="宋体" w:hAnsi="宋体" w:eastAsia="宋体" w:cs="宋体"/>
          <w:b/>
          <w:sz w:val="21"/>
          <w:szCs w:val="21"/>
        </w:rPr>
        <w:t xml:space="preserve">        </w:t>
      </w:r>
      <w:r>
        <w:rPr>
          <w:rFonts w:hint="eastAsia" w:ascii="宋体" w:hAnsi="宋体" w:eastAsia="宋体" w:cs="宋体"/>
          <w:b/>
          <w:color w:val="000000"/>
          <w:sz w:val="21"/>
          <w:szCs w:val="21"/>
          <w:lang w:val="zh-CN"/>
        </w:rPr>
        <w:t>质量保证期：三年</w:t>
      </w:r>
    </w:p>
    <w:p w14:paraId="57E51302">
      <w:pPr>
        <w:autoSpaceDE w:val="0"/>
        <w:autoSpaceDN w:val="0"/>
        <w:adjustRightInd w:val="0"/>
        <w:ind w:firstLine="480"/>
        <w:rPr>
          <w:rFonts w:hint="eastAsia" w:ascii="宋体" w:hAnsi="宋体" w:eastAsia="宋体" w:cs="宋体"/>
          <w:b/>
          <w:bCs/>
          <w:color w:val="000000"/>
          <w:sz w:val="21"/>
          <w:szCs w:val="21"/>
          <w:lang w:val="zh-CN"/>
        </w:rPr>
      </w:pPr>
      <w:r>
        <w:rPr>
          <w:rFonts w:hint="eastAsia" w:ascii="宋体" w:hAnsi="宋体" w:eastAsia="宋体" w:cs="宋体"/>
          <w:b/>
          <w:color w:val="000000"/>
          <w:sz w:val="21"/>
          <w:szCs w:val="21"/>
          <w:lang w:val="zh-CN"/>
        </w:rPr>
        <w:t xml:space="preserve">    交货地点：吉林省长春市朝阳区工农大路605号</w:t>
      </w:r>
    </w:p>
    <w:p w14:paraId="2B81E286">
      <w:pPr>
        <w:tabs>
          <w:tab w:val="left" w:pos="3120"/>
        </w:tabs>
        <w:autoSpaceDE w:val="0"/>
        <w:autoSpaceDN w:val="0"/>
        <w:adjustRightInd w:val="0"/>
        <w:ind w:firstLine="482"/>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 xml:space="preserve">    交货方式：将全部设备送至长春市朝阳区工农大路605号，并完成安装调试，确保验收合格。</w:t>
      </w:r>
    </w:p>
    <w:p w14:paraId="67CB5C69">
      <w:pPr>
        <w:pStyle w:val="92"/>
        <w:ind w:firstLine="826" w:firstLineChars="392"/>
        <w:rPr>
          <w:rFonts w:hint="eastAsia" w:ascii="宋体" w:hAnsi="宋体" w:eastAsia="宋体" w:cs="宋体"/>
          <w:b/>
          <w:sz w:val="21"/>
          <w:szCs w:val="21"/>
        </w:rPr>
      </w:pPr>
      <w:r>
        <w:rPr>
          <w:rFonts w:hint="eastAsia" w:ascii="宋体" w:hAnsi="宋体" w:eastAsia="宋体" w:cs="宋体"/>
          <w:b/>
          <w:sz w:val="21"/>
          <w:szCs w:val="21"/>
        </w:rPr>
        <w:t>验收时间：货到安装、调试后进行验收。</w:t>
      </w:r>
    </w:p>
    <w:p w14:paraId="3B69A0DF">
      <w:pPr>
        <w:pStyle w:val="92"/>
        <w:ind w:firstLine="826" w:firstLineChars="392"/>
        <w:rPr>
          <w:rFonts w:hint="eastAsia" w:ascii="宋体" w:hAnsi="宋体" w:eastAsia="宋体" w:cs="宋体"/>
          <w:b/>
          <w:sz w:val="21"/>
          <w:szCs w:val="21"/>
        </w:rPr>
      </w:pPr>
      <w:r>
        <w:rPr>
          <w:rFonts w:hint="eastAsia" w:ascii="宋体" w:hAnsi="宋体" w:eastAsia="宋体" w:cs="宋体"/>
          <w:b/>
          <w:sz w:val="21"/>
          <w:szCs w:val="21"/>
        </w:rPr>
        <w:t>验收方式：联合检查，实地验收。</w:t>
      </w:r>
    </w:p>
    <w:p w14:paraId="1A79C15B">
      <w:pPr>
        <w:pStyle w:val="92"/>
        <w:ind w:firstLine="826" w:firstLineChars="392"/>
        <w:rPr>
          <w:rFonts w:hint="eastAsia" w:ascii="宋体" w:hAnsi="宋体" w:eastAsia="宋体" w:cs="宋体"/>
          <w:b/>
          <w:color w:val="000000"/>
          <w:sz w:val="21"/>
          <w:szCs w:val="21"/>
          <w:lang w:val="zh-CN"/>
        </w:rPr>
      </w:pPr>
      <w:r>
        <w:rPr>
          <w:rFonts w:hint="eastAsia" w:ascii="宋体" w:hAnsi="宋体" w:eastAsia="宋体" w:cs="宋体"/>
          <w:b/>
          <w:sz w:val="21"/>
          <w:szCs w:val="21"/>
        </w:rPr>
        <w:t>验收程序：成立3人以上验收小组，按照合同约定逐项验收。</w:t>
      </w:r>
    </w:p>
    <w:p w14:paraId="7C9C53EF">
      <w:pPr>
        <w:rPr>
          <w:rFonts w:hint="eastAsia" w:ascii="宋体" w:hAnsi="宋体" w:eastAsia="宋体" w:cs="宋体"/>
          <w:b/>
          <w:sz w:val="21"/>
          <w:szCs w:val="21"/>
        </w:rPr>
      </w:pPr>
      <w:r>
        <w:rPr>
          <w:rFonts w:hint="eastAsia" w:ascii="宋体" w:hAnsi="宋体" w:eastAsia="宋体" w:cs="宋体"/>
          <w:b/>
          <w:sz w:val="21"/>
          <w:szCs w:val="21"/>
        </w:rPr>
        <w:t xml:space="preserve">        </w:t>
      </w:r>
      <w:r>
        <w:rPr>
          <w:rFonts w:hint="eastAsia" w:ascii="宋体" w:hAnsi="宋体" w:eastAsia="宋体" w:cs="宋体"/>
          <w:b/>
          <w:bCs/>
          <w:color w:val="000000"/>
          <w:sz w:val="21"/>
          <w:szCs w:val="21"/>
          <w:lang w:val="zh-CN"/>
        </w:rPr>
        <w:t>请投标人注意：（1）投标文件对招标文件各种设备所要求的主要功能配置及其技术指标必须全部满足，不允许有缺项或者负偏离，如果不满足将导致废标。</w:t>
      </w:r>
    </w:p>
    <w:p w14:paraId="66E1308F">
      <w:pPr>
        <w:widowControl w:val="0"/>
        <w:numPr>
          <w:ilvl w:val="0"/>
          <w:numId w:val="0"/>
        </w:numPr>
        <w:autoSpaceDE w:val="0"/>
        <w:autoSpaceDN w:val="0"/>
        <w:adjustRightInd w:val="0"/>
        <w:jc w:val="left"/>
        <w:rPr>
          <w:rFonts w:hint="eastAsia" w:ascii="宋体" w:hAnsi="宋体" w:eastAsia="宋体" w:cs="宋体"/>
          <w:color w:val="auto"/>
          <w:sz w:val="36"/>
          <w:szCs w:val="36"/>
          <w:highlight w:val="none"/>
          <w:lang w:val="zh-CN"/>
        </w:rPr>
        <w:sectPr>
          <w:pgSz w:w="11906" w:h="16838"/>
          <w:pgMar w:top="1814" w:right="1361" w:bottom="1701" w:left="1440" w:header="850" w:footer="992" w:gutter="0"/>
          <w:pgNumType w:fmt="decimal"/>
          <w:cols w:space="720" w:num="1"/>
          <w:titlePg/>
          <w:rtlGutter w:val="0"/>
          <w:docGrid w:type="lines" w:linePitch="317" w:charSpace="0"/>
        </w:sectPr>
      </w:pPr>
    </w:p>
    <w:p w14:paraId="4F33BD14">
      <w:pPr>
        <w:pStyle w:val="2"/>
        <w:bidi w:val="0"/>
        <w:jc w:val="center"/>
        <w:rPr>
          <w:rStyle w:val="61"/>
          <w:rFonts w:hint="eastAsia" w:ascii="宋体" w:hAnsi="宋体" w:eastAsia="宋体" w:cs="宋体"/>
          <w:b w:val="0"/>
          <w:bCs w:val="0"/>
          <w:color w:val="auto"/>
          <w:sz w:val="36"/>
          <w:szCs w:val="36"/>
          <w:highlight w:val="none"/>
          <w:lang w:val="zh-CN"/>
        </w:rPr>
      </w:pPr>
      <w:r>
        <w:rPr>
          <w:rFonts w:hint="eastAsia" w:ascii="宋体" w:hAnsi="宋体" w:eastAsia="宋体" w:cs="宋体"/>
          <w:bCs/>
          <w:color w:val="auto"/>
          <w:sz w:val="36"/>
          <w:szCs w:val="36"/>
          <w:highlight w:val="none"/>
          <w:lang w:val="zh-CN"/>
        </w:rPr>
        <w:br w:type="page"/>
      </w:r>
      <w:bookmarkStart w:id="25" w:name="_Toc31742"/>
      <w:bookmarkStart w:id="26" w:name="_Toc460776568"/>
      <w:r>
        <w:rPr>
          <w:rStyle w:val="51"/>
          <w:rFonts w:hint="eastAsia"/>
          <w:b/>
          <w:bCs/>
          <w:color w:val="auto"/>
          <w:sz w:val="36"/>
          <w:szCs w:val="36"/>
          <w:lang w:val="zh-CN"/>
        </w:rPr>
        <w:t>第</w:t>
      </w:r>
      <w:r>
        <w:rPr>
          <w:rStyle w:val="51"/>
          <w:rFonts w:hint="eastAsia"/>
          <w:b/>
          <w:bCs/>
          <w:color w:val="auto"/>
          <w:sz w:val="36"/>
          <w:szCs w:val="36"/>
          <w:lang w:val="en-US"/>
        </w:rPr>
        <w:t>六</w:t>
      </w:r>
      <w:r>
        <w:rPr>
          <w:rStyle w:val="51"/>
          <w:rFonts w:hint="eastAsia"/>
          <w:b/>
          <w:bCs/>
          <w:color w:val="auto"/>
          <w:sz w:val="36"/>
          <w:szCs w:val="36"/>
          <w:lang w:val="zh-CN"/>
        </w:rPr>
        <w:t>章 投标文件构成、要求及格式</w:t>
      </w:r>
      <w:bookmarkEnd w:id="25"/>
      <w:bookmarkEnd w:id="26"/>
    </w:p>
    <w:bookmarkEnd w:id="24"/>
    <w:p w14:paraId="052E7D6C">
      <w:pPr>
        <w:autoSpaceDE w:val="0"/>
        <w:autoSpaceDN w:val="0"/>
        <w:adjustRightInd w:val="0"/>
        <w:snapToGrid w:val="0"/>
        <w:spacing w:line="520" w:lineRule="exact"/>
        <w:jc w:val="center"/>
        <w:rPr>
          <w:rFonts w:hint="eastAsia" w:ascii="宋体" w:hAnsi="宋体" w:eastAsia="宋体" w:cs="宋体"/>
          <w:b/>
          <w:color w:val="auto"/>
          <w:sz w:val="32"/>
          <w:highlight w:val="none"/>
          <w:shd w:val="clear" w:color="auto" w:fill="auto"/>
          <w:lang w:val="zh-CN"/>
        </w:rPr>
      </w:pPr>
      <w:r>
        <w:rPr>
          <w:rFonts w:hint="eastAsia" w:ascii="宋体" w:hAnsi="宋体" w:eastAsia="宋体" w:cs="宋体"/>
          <w:b/>
          <w:color w:val="auto"/>
          <w:sz w:val="32"/>
          <w:highlight w:val="none"/>
          <w:shd w:val="clear" w:color="auto" w:fill="auto"/>
          <w:lang w:val="zh-CN"/>
        </w:rPr>
        <w:t>投标文件封面格式</w:t>
      </w:r>
    </w:p>
    <w:p w14:paraId="44E4AE73">
      <w:pPr>
        <w:autoSpaceDE w:val="0"/>
        <w:autoSpaceDN w:val="0"/>
        <w:adjustRightInd w:val="0"/>
        <w:spacing w:line="600" w:lineRule="exact"/>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t xml:space="preserve">      </w:t>
      </w:r>
    </w:p>
    <w:p w14:paraId="5BD31FD6">
      <w:pPr>
        <w:autoSpaceDE w:val="0"/>
        <w:autoSpaceDN w:val="0"/>
        <w:adjustRightInd w:val="0"/>
        <w:spacing w:line="600" w:lineRule="exact"/>
        <w:rPr>
          <w:rFonts w:hint="eastAsia" w:ascii="宋体" w:hAnsi="宋体" w:eastAsia="宋体" w:cs="宋体"/>
          <w:color w:val="auto"/>
          <w:sz w:val="32"/>
          <w:szCs w:val="32"/>
          <w:highlight w:val="none"/>
          <w:shd w:val="clear" w:color="auto" w:fill="auto"/>
        </w:rPr>
      </w:pPr>
    </w:p>
    <w:p w14:paraId="70DECB57">
      <w:pPr>
        <w:autoSpaceDE w:val="0"/>
        <w:autoSpaceDN w:val="0"/>
        <w:adjustRightInd w:val="0"/>
        <w:spacing w:line="600" w:lineRule="exact"/>
        <w:rPr>
          <w:rFonts w:hint="eastAsia" w:ascii="宋体" w:hAnsi="宋体" w:eastAsia="宋体" w:cs="宋体"/>
          <w:color w:val="auto"/>
          <w:sz w:val="32"/>
          <w:szCs w:val="32"/>
          <w:highlight w:val="none"/>
          <w:shd w:val="clear" w:color="auto" w:fill="auto"/>
        </w:rPr>
      </w:pPr>
    </w:p>
    <w:p w14:paraId="7C288F58">
      <w:pPr>
        <w:autoSpaceDE w:val="0"/>
        <w:autoSpaceDN w:val="0"/>
        <w:adjustRightInd w:val="0"/>
        <w:spacing w:line="600" w:lineRule="exact"/>
        <w:ind w:firstLine="964" w:firstLineChars="300"/>
        <w:rPr>
          <w:rFonts w:hint="eastAsia" w:ascii="宋体" w:hAnsi="宋体" w:eastAsia="宋体" w:cs="宋体"/>
          <w:b/>
          <w:color w:val="auto"/>
          <w:sz w:val="32"/>
          <w:szCs w:val="32"/>
          <w:highlight w:val="none"/>
          <w:u w:val="single"/>
          <w:shd w:val="clear" w:color="auto" w:fill="auto"/>
          <w:lang w:val="en-US" w:eastAsia="zh-CN"/>
        </w:rPr>
      </w:pPr>
      <w:r>
        <w:rPr>
          <w:rFonts w:hint="eastAsia" w:ascii="宋体" w:hAnsi="宋体" w:eastAsia="宋体" w:cs="宋体"/>
          <w:b/>
          <w:color w:val="auto"/>
          <w:sz w:val="32"/>
          <w:szCs w:val="32"/>
          <w:highlight w:val="none"/>
          <w:u w:val="single"/>
          <w:shd w:val="clear" w:color="auto" w:fill="auto"/>
        </w:rPr>
        <w:t xml:space="preserve">                    (</w:t>
      </w:r>
      <w:r>
        <w:rPr>
          <w:rFonts w:hint="eastAsia" w:ascii="宋体" w:hAnsi="宋体" w:eastAsia="宋体" w:cs="宋体"/>
          <w:b/>
          <w:color w:val="auto"/>
          <w:sz w:val="32"/>
          <w:szCs w:val="32"/>
          <w:highlight w:val="none"/>
          <w:u w:val="single"/>
          <w:shd w:val="clear" w:color="auto" w:fill="auto"/>
          <w:lang w:val="zh-CN"/>
        </w:rPr>
        <w:t>项目名称</w:t>
      </w:r>
      <w:r>
        <w:rPr>
          <w:rFonts w:hint="eastAsia" w:ascii="宋体" w:hAnsi="宋体" w:eastAsia="宋体" w:cs="宋体"/>
          <w:b/>
          <w:color w:val="auto"/>
          <w:sz w:val="32"/>
          <w:szCs w:val="32"/>
          <w:highlight w:val="none"/>
          <w:u w:val="single"/>
          <w:shd w:val="clear" w:color="auto" w:fill="auto"/>
        </w:rPr>
        <w:t xml:space="preserve">)      </w:t>
      </w:r>
      <w:r>
        <w:rPr>
          <w:rFonts w:hint="eastAsia" w:ascii="宋体" w:hAnsi="宋体" w:eastAsia="宋体" w:cs="宋体"/>
          <w:b/>
          <w:color w:val="auto"/>
          <w:sz w:val="32"/>
          <w:szCs w:val="32"/>
          <w:highlight w:val="none"/>
          <w:u w:val="single"/>
          <w:shd w:val="clear" w:color="auto" w:fill="auto"/>
          <w:lang w:val="en-US" w:eastAsia="zh-CN"/>
        </w:rPr>
        <w:t xml:space="preserve">        </w:t>
      </w:r>
    </w:p>
    <w:p w14:paraId="6CD0A43A">
      <w:pPr>
        <w:autoSpaceDE w:val="0"/>
        <w:autoSpaceDN w:val="0"/>
        <w:adjustRightInd w:val="0"/>
        <w:spacing w:line="600" w:lineRule="exact"/>
        <w:rPr>
          <w:rFonts w:hint="eastAsia" w:ascii="宋体" w:hAnsi="宋体" w:eastAsia="宋体" w:cs="宋体"/>
          <w:color w:val="auto"/>
          <w:szCs w:val="18"/>
          <w:highlight w:val="none"/>
          <w:shd w:val="clear" w:color="auto" w:fill="auto"/>
        </w:rPr>
      </w:pPr>
    </w:p>
    <w:p w14:paraId="247B1ED1">
      <w:pPr>
        <w:autoSpaceDE w:val="0"/>
        <w:autoSpaceDN w:val="0"/>
        <w:adjustRightInd w:val="0"/>
        <w:spacing w:line="600" w:lineRule="exact"/>
        <w:rPr>
          <w:rFonts w:hint="eastAsia" w:ascii="宋体" w:hAnsi="宋体" w:eastAsia="宋体" w:cs="宋体"/>
          <w:color w:val="auto"/>
          <w:sz w:val="52"/>
          <w:szCs w:val="18"/>
          <w:highlight w:val="none"/>
          <w:shd w:val="clear" w:color="auto" w:fill="auto"/>
        </w:rPr>
      </w:pPr>
    </w:p>
    <w:p w14:paraId="4E4998FC">
      <w:pPr>
        <w:autoSpaceDE w:val="0"/>
        <w:autoSpaceDN w:val="0"/>
        <w:adjustRightInd w:val="0"/>
        <w:spacing w:line="600" w:lineRule="exact"/>
        <w:rPr>
          <w:rFonts w:hint="eastAsia" w:ascii="宋体" w:hAnsi="宋体" w:eastAsia="宋体" w:cs="宋体"/>
          <w:color w:val="auto"/>
          <w:sz w:val="52"/>
          <w:szCs w:val="18"/>
          <w:highlight w:val="none"/>
          <w:shd w:val="clear" w:color="auto" w:fill="auto"/>
        </w:rPr>
      </w:pPr>
    </w:p>
    <w:p w14:paraId="3ABD89B4">
      <w:pPr>
        <w:autoSpaceDE w:val="0"/>
        <w:autoSpaceDN w:val="0"/>
        <w:adjustRightInd w:val="0"/>
        <w:spacing w:line="600" w:lineRule="exact"/>
        <w:rPr>
          <w:rFonts w:hint="eastAsia" w:ascii="宋体" w:hAnsi="宋体" w:eastAsia="宋体" w:cs="宋体"/>
          <w:color w:val="auto"/>
          <w:sz w:val="52"/>
          <w:szCs w:val="18"/>
          <w:highlight w:val="none"/>
          <w:shd w:val="clear" w:color="auto" w:fill="auto"/>
        </w:rPr>
      </w:pPr>
    </w:p>
    <w:p w14:paraId="79193E70">
      <w:pPr>
        <w:autoSpaceDE w:val="0"/>
        <w:autoSpaceDN w:val="0"/>
        <w:adjustRightInd w:val="0"/>
        <w:spacing w:line="600" w:lineRule="exact"/>
        <w:rPr>
          <w:rFonts w:hint="eastAsia" w:ascii="宋体" w:hAnsi="宋体" w:eastAsia="宋体" w:cs="宋体"/>
          <w:color w:val="auto"/>
          <w:sz w:val="52"/>
          <w:szCs w:val="18"/>
          <w:highlight w:val="none"/>
          <w:shd w:val="clear" w:color="auto" w:fill="auto"/>
        </w:rPr>
      </w:pPr>
    </w:p>
    <w:p w14:paraId="38CC1D37">
      <w:pPr>
        <w:autoSpaceDE w:val="0"/>
        <w:autoSpaceDN w:val="0"/>
        <w:adjustRightInd w:val="0"/>
        <w:jc w:val="center"/>
        <w:rPr>
          <w:rFonts w:hint="eastAsia" w:ascii="宋体" w:hAnsi="宋体" w:eastAsia="宋体" w:cs="宋体"/>
          <w:color w:val="auto"/>
          <w:sz w:val="52"/>
          <w:szCs w:val="52"/>
          <w:highlight w:val="none"/>
          <w:shd w:val="clear" w:color="auto" w:fill="auto"/>
        </w:rPr>
      </w:pPr>
      <w:r>
        <w:rPr>
          <w:rFonts w:hint="eastAsia" w:ascii="宋体" w:hAnsi="宋体" w:eastAsia="宋体" w:cs="宋体"/>
          <w:color w:val="auto"/>
          <w:sz w:val="52"/>
          <w:szCs w:val="52"/>
          <w:highlight w:val="none"/>
          <w:shd w:val="clear" w:color="auto" w:fill="auto"/>
          <w:lang w:val="zh-CN"/>
        </w:rPr>
        <w:t>投</w:t>
      </w:r>
      <w:r>
        <w:rPr>
          <w:rFonts w:hint="eastAsia" w:ascii="宋体" w:hAnsi="宋体" w:eastAsia="宋体" w:cs="宋体"/>
          <w:color w:val="auto"/>
          <w:sz w:val="52"/>
          <w:szCs w:val="52"/>
          <w:highlight w:val="none"/>
          <w:shd w:val="clear" w:color="auto" w:fill="auto"/>
        </w:rPr>
        <w:t xml:space="preserve"> </w:t>
      </w:r>
      <w:r>
        <w:rPr>
          <w:rFonts w:hint="eastAsia" w:ascii="宋体" w:hAnsi="宋体" w:eastAsia="宋体" w:cs="宋体"/>
          <w:color w:val="auto"/>
          <w:sz w:val="52"/>
          <w:szCs w:val="52"/>
          <w:highlight w:val="none"/>
          <w:shd w:val="clear" w:color="auto" w:fill="auto"/>
          <w:lang w:val="zh-CN"/>
        </w:rPr>
        <w:t>标</w:t>
      </w:r>
      <w:r>
        <w:rPr>
          <w:rFonts w:hint="eastAsia" w:ascii="宋体" w:hAnsi="宋体" w:eastAsia="宋体" w:cs="宋体"/>
          <w:color w:val="auto"/>
          <w:sz w:val="52"/>
          <w:szCs w:val="52"/>
          <w:highlight w:val="none"/>
          <w:shd w:val="clear" w:color="auto" w:fill="auto"/>
        </w:rPr>
        <w:t xml:space="preserve"> </w:t>
      </w:r>
      <w:r>
        <w:rPr>
          <w:rFonts w:hint="eastAsia" w:ascii="宋体" w:hAnsi="宋体" w:eastAsia="宋体" w:cs="宋体"/>
          <w:color w:val="auto"/>
          <w:sz w:val="52"/>
          <w:szCs w:val="52"/>
          <w:highlight w:val="none"/>
          <w:shd w:val="clear" w:color="auto" w:fill="auto"/>
          <w:lang w:val="zh-CN"/>
        </w:rPr>
        <w:t>文</w:t>
      </w:r>
      <w:r>
        <w:rPr>
          <w:rFonts w:hint="eastAsia" w:ascii="宋体" w:hAnsi="宋体" w:eastAsia="宋体" w:cs="宋体"/>
          <w:color w:val="auto"/>
          <w:sz w:val="52"/>
          <w:szCs w:val="52"/>
          <w:highlight w:val="none"/>
          <w:shd w:val="clear" w:color="auto" w:fill="auto"/>
        </w:rPr>
        <w:t xml:space="preserve"> </w:t>
      </w:r>
      <w:r>
        <w:rPr>
          <w:rFonts w:hint="eastAsia" w:ascii="宋体" w:hAnsi="宋体" w:eastAsia="宋体" w:cs="宋体"/>
          <w:color w:val="auto"/>
          <w:sz w:val="52"/>
          <w:szCs w:val="52"/>
          <w:highlight w:val="none"/>
          <w:shd w:val="clear" w:color="auto" w:fill="auto"/>
          <w:lang w:val="zh-CN"/>
        </w:rPr>
        <w:t>件</w:t>
      </w:r>
    </w:p>
    <w:p w14:paraId="4E550310">
      <w:pPr>
        <w:autoSpaceDE w:val="0"/>
        <w:autoSpaceDN w:val="0"/>
        <w:adjustRightInd w:val="0"/>
        <w:spacing w:line="400" w:lineRule="exact"/>
        <w:jc w:val="left"/>
        <w:rPr>
          <w:rFonts w:hint="eastAsia" w:ascii="宋体" w:hAnsi="宋体" w:eastAsia="宋体" w:cs="宋体"/>
          <w:color w:val="auto"/>
          <w:szCs w:val="18"/>
          <w:highlight w:val="none"/>
          <w:shd w:val="clear" w:color="auto" w:fill="auto"/>
        </w:rPr>
      </w:pPr>
    </w:p>
    <w:p w14:paraId="56BD7B52">
      <w:pPr>
        <w:autoSpaceDE w:val="0"/>
        <w:autoSpaceDN w:val="0"/>
        <w:adjustRightInd w:val="0"/>
        <w:spacing w:line="400" w:lineRule="exact"/>
        <w:jc w:val="left"/>
        <w:rPr>
          <w:rFonts w:hint="eastAsia" w:ascii="宋体" w:hAnsi="宋体" w:eastAsia="宋体" w:cs="宋体"/>
          <w:color w:val="auto"/>
          <w:szCs w:val="18"/>
          <w:highlight w:val="none"/>
          <w:shd w:val="clear" w:color="auto" w:fill="auto"/>
        </w:rPr>
      </w:pPr>
    </w:p>
    <w:p w14:paraId="70BBBF24">
      <w:pPr>
        <w:autoSpaceDE w:val="0"/>
        <w:autoSpaceDN w:val="0"/>
        <w:adjustRightInd w:val="0"/>
        <w:spacing w:line="400" w:lineRule="exact"/>
        <w:jc w:val="left"/>
        <w:rPr>
          <w:rFonts w:hint="eastAsia" w:ascii="宋体" w:hAnsi="宋体" w:eastAsia="宋体" w:cs="宋体"/>
          <w:color w:val="auto"/>
          <w:szCs w:val="18"/>
          <w:highlight w:val="none"/>
          <w:shd w:val="clear" w:color="auto" w:fill="auto"/>
        </w:rPr>
      </w:pPr>
    </w:p>
    <w:p w14:paraId="465D9D4D">
      <w:pPr>
        <w:autoSpaceDE w:val="0"/>
        <w:autoSpaceDN w:val="0"/>
        <w:adjustRightInd w:val="0"/>
        <w:spacing w:line="400" w:lineRule="exact"/>
        <w:jc w:val="left"/>
        <w:rPr>
          <w:rFonts w:hint="eastAsia" w:ascii="宋体" w:hAnsi="宋体" w:eastAsia="宋体" w:cs="宋体"/>
          <w:color w:val="auto"/>
          <w:szCs w:val="18"/>
          <w:highlight w:val="none"/>
          <w:shd w:val="clear" w:color="auto" w:fill="auto"/>
        </w:rPr>
      </w:pPr>
    </w:p>
    <w:p w14:paraId="50122432">
      <w:pPr>
        <w:autoSpaceDE w:val="0"/>
        <w:autoSpaceDN w:val="0"/>
        <w:adjustRightInd w:val="0"/>
        <w:spacing w:line="400" w:lineRule="exact"/>
        <w:jc w:val="left"/>
        <w:rPr>
          <w:rFonts w:hint="eastAsia" w:ascii="宋体" w:hAnsi="宋体" w:eastAsia="宋体" w:cs="宋体"/>
          <w:color w:val="auto"/>
          <w:szCs w:val="18"/>
          <w:highlight w:val="none"/>
          <w:shd w:val="clear" w:color="auto" w:fill="auto"/>
        </w:rPr>
      </w:pPr>
    </w:p>
    <w:p w14:paraId="45B59FB0">
      <w:pPr>
        <w:autoSpaceDE w:val="0"/>
        <w:autoSpaceDN w:val="0"/>
        <w:adjustRightInd w:val="0"/>
        <w:spacing w:line="400" w:lineRule="exact"/>
        <w:jc w:val="left"/>
        <w:rPr>
          <w:rFonts w:hint="eastAsia" w:ascii="宋体" w:hAnsi="宋体" w:eastAsia="宋体" w:cs="宋体"/>
          <w:color w:val="auto"/>
          <w:szCs w:val="18"/>
          <w:highlight w:val="none"/>
          <w:shd w:val="clear" w:color="auto" w:fill="auto"/>
        </w:rPr>
      </w:pPr>
    </w:p>
    <w:p w14:paraId="2C635FCD">
      <w:pPr>
        <w:autoSpaceDE w:val="0"/>
        <w:autoSpaceDN w:val="0"/>
        <w:adjustRightInd w:val="0"/>
        <w:spacing w:line="400" w:lineRule="exact"/>
        <w:jc w:val="left"/>
        <w:rPr>
          <w:rFonts w:hint="eastAsia" w:ascii="宋体" w:hAnsi="宋体" w:eastAsia="宋体" w:cs="宋体"/>
          <w:color w:val="auto"/>
          <w:szCs w:val="18"/>
          <w:highlight w:val="none"/>
          <w:shd w:val="clear" w:color="auto" w:fill="auto"/>
        </w:rPr>
      </w:pPr>
    </w:p>
    <w:p w14:paraId="1AEAD0AD">
      <w:pPr>
        <w:autoSpaceDE w:val="0"/>
        <w:autoSpaceDN w:val="0"/>
        <w:adjustRightInd w:val="0"/>
        <w:spacing w:line="700" w:lineRule="exact"/>
        <w:jc w:val="left"/>
        <w:rPr>
          <w:rFonts w:hint="eastAsia" w:ascii="宋体" w:hAnsi="宋体" w:eastAsia="宋体" w:cs="宋体"/>
          <w:color w:val="auto"/>
          <w:sz w:val="28"/>
          <w:szCs w:val="28"/>
          <w:highlight w:val="none"/>
          <w:shd w:val="clear" w:color="auto" w:fill="auto"/>
          <w:lang w:val="zh-CN"/>
        </w:rPr>
      </w:pPr>
      <w:r>
        <w:rPr>
          <w:rFonts w:hint="eastAsia" w:ascii="宋体" w:hAnsi="宋体" w:eastAsia="宋体" w:cs="宋体"/>
          <w:color w:val="auto"/>
          <w:sz w:val="28"/>
          <w:szCs w:val="18"/>
          <w:highlight w:val="none"/>
          <w:shd w:val="clear" w:color="auto" w:fill="auto"/>
          <w:lang w:val="zh-CN"/>
        </w:rPr>
        <w:t>　　</w:t>
      </w:r>
      <w:r>
        <w:rPr>
          <w:rFonts w:hint="eastAsia" w:ascii="宋体" w:hAnsi="宋体" w:eastAsia="宋体" w:cs="宋体"/>
          <w:color w:val="auto"/>
          <w:sz w:val="28"/>
          <w:szCs w:val="18"/>
          <w:highlight w:val="none"/>
          <w:shd w:val="clear" w:color="auto" w:fill="auto"/>
        </w:rPr>
        <w:t xml:space="preserve">   </w:t>
      </w:r>
      <w:r>
        <w:rPr>
          <w:rFonts w:hint="eastAsia" w:ascii="宋体" w:hAnsi="宋体" w:eastAsia="宋体" w:cs="宋体"/>
          <w:color w:val="auto"/>
          <w:sz w:val="28"/>
          <w:szCs w:val="28"/>
          <w:highlight w:val="none"/>
          <w:shd w:val="clear" w:color="auto" w:fill="auto"/>
          <w:lang w:val="zh-CN"/>
        </w:rPr>
        <w:t>投标人：</w:t>
      </w:r>
      <w:r>
        <w:rPr>
          <w:rFonts w:hint="eastAsia" w:ascii="宋体" w:hAnsi="宋体" w:eastAsia="宋体" w:cs="宋体"/>
          <w:color w:val="auto"/>
          <w:sz w:val="28"/>
          <w:szCs w:val="28"/>
          <w:highlight w:val="none"/>
          <w:u w:val="single"/>
          <w:shd w:val="clear" w:color="auto" w:fill="auto"/>
          <w:lang w:val="zh-CN"/>
        </w:rPr>
        <w:t xml:space="preserve">                                  </w:t>
      </w:r>
      <w:r>
        <w:rPr>
          <w:rFonts w:hint="eastAsia" w:ascii="宋体" w:hAnsi="宋体" w:eastAsia="宋体" w:cs="宋体"/>
          <w:color w:val="auto"/>
          <w:sz w:val="28"/>
          <w:szCs w:val="28"/>
          <w:highlight w:val="none"/>
          <w:shd w:val="clear" w:color="auto" w:fill="auto"/>
          <w:lang w:val="zh-CN"/>
        </w:rPr>
        <w:t>(</w:t>
      </w:r>
      <w:r>
        <w:rPr>
          <w:rFonts w:hint="eastAsia" w:ascii="宋体" w:hAnsi="宋体" w:eastAsia="宋体" w:cs="宋体"/>
          <w:color w:val="auto"/>
          <w:sz w:val="28"/>
          <w:szCs w:val="28"/>
          <w:highlight w:val="none"/>
          <w:shd w:val="clear" w:color="auto" w:fill="auto"/>
          <w:lang w:val="en-US" w:eastAsia="zh-CN"/>
        </w:rPr>
        <w:t>加盖公章</w:t>
      </w:r>
      <w:r>
        <w:rPr>
          <w:rFonts w:hint="eastAsia" w:ascii="宋体" w:hAnsi="宋体" w:eastAsia="宋体" w:cs="宋体"/>
          <w:color w:val="auto"/>
          <w:sz w:val="28"/>
          <w:szCs w:val="28"/>
          <w:highlight w:val="none"/>
          <w:shd w:val="clear" w:color="auto" w:fill="auto"/>
          <w:lang w:val="zh-CN"/>
        </w:rPr>
        <w:t>)</w:t>
      </w:r>
    </w:p>
    <w:p w14:paraId="7A3B5182">
      <w:pPr>
        <w:autoSpaceDE w:val="0"/>
        <w:autoSpaceDN w:val="0"/>
        <w:adjustRightInd w:val="0"/>
        <w:spacing w:line="400" w:lineRule="exact"/>
        <w:jc w:val="left"/>
        <w:rPr>
          <w:rFonts w:hint="eastAsia" w:ascii="宋体" w:hAnsi="宋体" w:eastAsia="宋体" w:cs="宋体"/>
          <w:color w:val="auto"/>
          <w:sz w:val="28"/>
          <w:szCs w:val="28"/>
          <w:highlight w:val="none"/>
          <w:shd w:val="clear" w:color="auto" w:fill="auto"/>
        </w:rPr>
      </w:pPr>
    </w:p>
    <w:p w14:paraId="27013719">
      <w:pPr>
        <w:autoSpaceDE w:val="0"/>
        <w:autoSpaceDN w:val="0"/>
        <w:adjustRightInd w:val="0"/>
        <w:spacing w:line="400" w:lineRule="exact"/>
        <w:ind w:firstLine="280" w:firstLineChars="100"/>
        <w:jc w:val="left"/>
        <w:rPr>
          <w:rFonts w:hint="eastAsia" w:ascii="宋体" w:hAnsi="宋体" w:eastAsia="宋体" w:cs="宋体"/>
          <w:color w:val="auto"/>
          <w:sz w:val="28"/>
          <w:szCs w:val="28"/>
          <w:highlight w:val="none"/>
          <w:u w:val="single"/>
          <w:shd w:val="clear" w:color="auto" w:fill="auto"/>
          <w:lang w:val="zh-CN"/>
        </w:rPr>
      </w:pPr>
    </w:p>
    <w:p w14:paraId="6BABE3FE">
      <w:pPr>
        <w:autoSpaceDE w:val="0"/>
        <w:autoSpaceDN w:val="0"/>
        <w:adjustRightInd w:val="0"/>
        <w:snapToGrid w:val="0"/>
        <w:spacing w:line="520" w:lineRule="exact"/>
        <w:jc w:val="center"/>
        <w:rPr>
          <w:rFonts w:hint="eastAsia" w:ascii="宋体" w:hAnsi="宋体" w:eastAsia="宋体" w:cs="宋体"/>
          <w:b/>
          <w:color w:val="auto"/>
          <w:sz w:val="32"/>
          <w:highlight w:val="none"/>
          <w:shd w:val="clear" w:color="auto" w:fill="auto"/>
          <w:lang w:val="zh-CN"/>
        </w:rPr>
      </w:pPr>
      <w:r>
        <w:rPr>
          <w:rFonts w:hint="eastAsia" w:ascii="宋体" w:hAnsi="宋体" w:eastAsia="宋体" w:cs="宋体"/>
          <w:color w:val="auto"/>
          <w:sz w:val="28"/>
          <w:szCs w:val="28"/>
          <w:highlight w:val="none"/>
          <w:shd w:val="clear" w:color="auto" w:fill="auto"/>
          <w:lang w:val="zh-CN"/>
        </w:rPr>
        <w:t xml:space="preserve">　　   日期： </w:t>
      </w:r>
      <w:r>
        <w:rPr>
          <w:rFonts w:hint="eastAsia" w:ascii="宋体" w:hAnsi="宋体" w:eastAsia="宋体" w:cs="宋体"/>
          <w:color w:val="auto"/>
          <w:sz w:val="28"/>
          <w:szCs w:val="28"/>
          <w:highlight w:val="none"/>
          <w:u w:val="single"/>
          <w:shd w:val="clear" w:color="auto" w:fill="auto"/>
          <w:lang w:val="zh-CN"/>
        </w:rPr>
        <w:t xml:space="preserve">      </w:t>
      </w:r>
      <w:r>
        <w:rPr>
          <w:rFonts w:hint="eastAsia" w:ascii="宋体" w:hAnsi="宋体" w:eastAsia="宋体" w:cs="宋体"/>
          <w:color w:val="auto"/>
          <w:sz w:val="28"/>
          <w:szCs w:val="28"/>
          <w:highlight w:val="none"/>
          <w:shd w:val="clear" w:color="auto" w:fill="auto"/>
          <w:lang w:val="zh-CN"/>
        </w:rPr>
        <w:t>年</w:t>
      </w:r>
      <w:r>
        <w:rPr>
          <w:rFonts w:hint="eastAsia" w:ascii="宋体" w:hAnsi="宋体" w:eastAsia="宋体" w:cs="宋体"/>
          <w:color w:val="auto"/>
          <w:sz w:val="28"/>
          <w:szCs w:val="28"/>
          <w:highlight w:val="none"/>
          <w:u w:val="single"/>
          <w:shd w:val="clear" w:color="auto" w:fill="auto"/>
          <w:lang w:val="zh-CN"/>
        </w:rPr>
        <w:t xml:space="preserve">    </w:t>
      </w:r>
      <w:r>
        <w:rPr>
          <w:rFonts w:hint="eastAsia" w:ascii="宋体" w:hAnsi="宋体" w:eastAsia="宋体" w:cs="宋体"/>
          <w:color w:val="auto"/>
          <w:sz w:val="28"/>
          <w:szCs w:val="28"/>
          <w:highlight w:val="none"/>
          <w:shd w:val="clear" w:color="auto" w:fill="auto"/>
          <w:lang w:val="zh-CN"/>
        </w:rPr>
        <w:t>月</w:t>
      </w:r>
      <w:r>
        <w:rPr>
          <w:rFonts w:hint="eastAsia" w:ascii="宋体" w:hAnsi="宋体" w:eastAsia="宋体" w:cs="宋体"/>
          <w:color w:val="auto"/>
          <w:sz w:val="28"/>
          <w:szCs w:val="28"/>
          <w:highlight w:val="none"/>
          <w:u w:val="single"/>
          <w:shd w:val="clear" w:color="auto" w:fill="auto"/>
          <w:lang w:val="zh-CN"/>
        </w:rPr>
        <w:t xml:space="preserve">    </w:t>
      </w:r>
      <w:r>
        <w:rPr>
          <w:rFonts w:hint="eastAsia" w:ascii="宋体" w:hAnsi="宋体" w:eastAsia="宋体" w:cs="宋体"/>
          <w:color w:val="auto"/>
          <w:sz w:val="28"/>
          <w:szCs w:val="28"/>
          <w:highlight w:val="none"/>
          <w:shd w:val="clear" w:color="auto" w:fill="auto"/>
          <w:lang w:val="zh-CN"/>
        </w:rPr>
        <w:t>日</w:t>
      </w:r>
    </w:p>
    <w:p w14:paraId="06A17D5D">
      <w:pPr>
        <w:autoSpaceDE w:val="0"/>
        <w:autoSpaceDN w:val="0"/>
        <w:adjustRightInd w:val="0"/>
        <w:snapToGrid w:val="0"/>
        <w:spacing w:line="520" w:lineRule="exact"/>
        <w:rPr>
          <w:rFonts w:hint="eastAsia" w:ascii="宋体" w:hAnsi="宋体" w:eastAsia="宋体" w:cs="宋体"/>
          <w:b/>
          <w:color w:val="auto"/>
          <w:sz w:val="32"/>
          <w:highlight w:val="none"/>
          <w:shd w:val="clear" w:color="auto" w:fill="auto"/>
          <w:lang w:val="zh-CN"/>
        </w:rPr>
      </w:pPr>
    </w:p>
    <w:p w14:paraId="259A66F6">
      <w:pPr>
        <w:autoSpaceDE w:val="0"/>
        <w:autoSpaceDN w:val="0"/>
        <w:adjustRightInd w:val="0"/>
        <w:snapToGrid w:val="0"/>
        <w:spacing w:line="520" w:lineRule="exact"/>
        <w:jc w:val="center"/>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第一部分  商务部分</w:t>
      </w:r>
    </w:p>
    <w:p w14:paraId="7AE2AD1F">
      <w:pPr>
        <w:autoSpaceDE w:val="0"/>
        <w:autoSpaceDN w:val="0"/>
        <w:adjustRightInd w:val="0"/>
        <w:snapToGrid w:val="0"/>
        <w:spacing w:line="520" w:lineRule="exact"/>
        <w:jc w:val="center"/>
        <w:rPr>
          <w:rFonts w:hint="eastAsia" w:ascii="宋体" w:hAnsi="宋体" w:eastAsia="宋体" w:cs="宋体"/>
          <w:b/>
          <w:color w:val="auto"/>
          <w:sz w:val="32"/>
          <w:highlight w:val="none"/>
          <w:lang w:val="zh-CN"/>
        </w:rPr>
      </w:pPr>
    </w:p>
    <w:p w14:paraId="0F2A64D5">
      <w:pPr>
        <w:autoSpaceDE w:val="0"/>
        <w:autoSpaceDN w:val="0"/>
        <w:adjustRightInd w:val="0"/>
        <w:snapToGrid w:val="0"/>
        <w:spacing w:line="520" w:lineRule="exact"/>
        <w:jc w:val="center"/>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目录</w:t>
      </w:r>
    </w:p>
    <w:p w14:paraId="321FA20A">
      <w:pPr>
        <w:autoSpaceDE w:val="0"/>
        <w:autoSpaceDN w:val="0"/>
        <w:adjustRightInd w:val="0"/>
        <w:snapToGrid w:val="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商务文件清单：</w:t>
      </w:r>
    </w:p>
    <w:tbl>
      <w:tblPr>
        <w:tblStyle w:val="33"/>
        <w:tblW w:w="0" w:type="auto"/>
        <w:jc w:val="center"/>
        <w:tblLayout w:type="fixed"/>
        <w:tblCellMar>
          <w:top w:w="0" w:type="dxa"/>
          <w:left w:w="108" w:type="dxa"/>
          <w:bottom w:w="0" w:type="dxa"/>
          <w:right w:w="108" w:type="dxa"/>
        </w:tblCellMar>
      </w:tblPr>
      <w:tblGrid>
        <w:gridCol w:w="883"/>
        <w:gridCol w:w="6706"/>
        <w:gridCol w:w="2010"/>
      </w:tblGrid>
      <w:tr w14:paraId="22C86D67">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2A90970E">
            <w:pPr>
              <w:autoSpaceDE w:val="0"/>
              <w:autoSpaceDN w:val="0"/>
              <w:adjustRightInd w:val="0"/>
              <w:snapToGrid w:val="0"/>
              <w:spacing w:line="340" w:lineRule="exact"/>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序号</w:t>
            </w:r>
          </w:p>
        </w:tc>
        <w:tc>
          <w:tcPr>
            <w:tcW w:w="6706" w:type="dxa"/>
            <w:tcBorders>
              <w:top w:val="single" w:color="auto" w:sz="6" w:space="0"/>
              <w:left w:val="single" w:color="auto" w:sz="6" w:space="0"/>
              <w:bottom w:val="single" w:color="auto" w:sz="6" w:space="0"/>
              <w:right w:val="single" w:color="auto" w:sz="6" w:space="0"/>
            </w:tcBorders>
            <w:noWrap w:val="0"/>
            <w:vAlign w:val="center"/>
          </w:tcPr>
          <w:p w14:paraId="7C37726C">
            <w:pPr>
              <w:autoSpaceDE w:val="0"/>
              <w:autoSpaceDN w:val="0"/>
              <w:adjustRightInd w:val="0"/>
              <w:snapToGrid w:val="0"/>
              <w:spacing w:line="340" w:lineRule="exact"/>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商务文件名称及要求</w:t>
            </w:r>
          </w:p>
        </w:tc>
        <w:tc>
          <w:tcPr>
            <w:tcW w:w="2010" w:type="dxa"/>
            <w:tcBorders>
              <w:top w:val="single" w:color="auto" w:sz="6" w:space="0"/>
              <w:left w:val="single" w:color="auto" w:sz="6" w:space="0"/>
              <w:bottom w:val="single" w:color="auto" w:sz="6" w:space="0"/>
              <w:right w:val="single" w:color="auto" w:sz="6" w:space="0"/>
            </w:tcBorders>
            <w:noWrap w:val="0"/>
            <w:vAlign w:val="center"/>
          </w:tcPr>
          <w:p w14:paraId="4E122B6D">
            <w:pPr>
              <w:autoSpaceDE w:val="0"/>
              <w:autoSpaceDN w:val="0"/>
              <w:adjustRightInd w:val="0"/>
              <w:snapToGrid w:val="0"/>
              <w:spacing w:line="340" w:lineRule="exact"/>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文件页码</w:t>
            </w:r>
          </w:p>
        </w:tc>
      </w:tr>
      <w:tr w14:paraId="0A8E048B">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180C49DD">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41AE6D98">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投标函</w:t>
            </w:r>
            <w:r>
              <w:rPr>
                <w:rFonts w:hint="eastAsia" w:ascii="宋体" w:hAnsi="宋体" w:eastAsia="宋体" w:cs="宋体"/>
                <w:color w:val="auto"/>
                <w:szCs w:val="21"/>
                <w:highlight w:val="none"/>
                <w:lang w:val="zh-CN"/>
              </w:rPr>
              <w:t>（格式）</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4430644E">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r w14:paraId="485A6D4F">
        <w:tblPrEx>
          <w:tblCellMar>
            <w:top w:w="0" w:type="dxa"/>
            <w:left w:w="108" w:type="dxa"/>
            <w:bottom w:w="0" w:type="dxa"/>
            <w:right w:w="108" w:type="dxa"/>
          </w:tblCellMar>
        </w:tblPrEx>
        <w:trPr>
          <w:trHeight w:val="90" w:hRule="atLeast"/>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3BCF2CF6">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69A434D1">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开标一览表</w:t>
            </w:r>
            <w:r>
              <w:rPr>
                <w:rFonts w:hint="eastAsia" w:ascii="宋体" w:hAnsi="宋体" w:eastAsia="宋体" w:cs="宋体"/>
                <w:color w:val="auto"/>
                <w:szCs w:val="21"/>
                <w:highlight w:val="none"/>
                <w:lang w:val="zh-CN"/>
              </w:rPr>
              <w:t>（格式）</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3365BCB2">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r w14:paraId="062AF010">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1DEFB25C">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4C11792D">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投标报价明细表（格式）</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273274D0">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r w14:paraId="7A21F16D">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0780E3C3">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7C5EF4E8">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企业简介</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0F6A0968">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r w14:paraId="344B9C8C">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70E34244">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03059E29">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投标人的资格声明</w:t>
            </w:r>
            <w:r>
              <w:rPr>
                <w:rFonts w:hint="eastAsia" w:ascii="宋体" w:hAnsi="宋体" w:eastAsia="宋体" w:cs="宋体"/>
                <w:color w:val="auto"/>
                <w:szCs w:val="21"/>
                <w:highlight w:val="none"/>
                <w:lang w:val="zh-CN"/>
              </w:rPr>
              <w:t>（格式）</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3CFE04C9">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r w14:paraId="255F2866">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5B73F67D">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00FF6AC0">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法定代表人授权书</w:t>
            </w:r>
            <w:r>
              <w:rPr>
                <w:rFonts w:hint="eastAsia" w:ascii="宋体" w:hAnsi="宋体" w:eastAsia="宋体" w:cs="宋体"/>
                <w:color w:val="auto"/>
                <w:szCs w:val="21"/>
                <w:highlight w:val="none"/>
                <w:lang w:val="zh-CN"/>
              </w:rPr>
              <w:t>（格式）</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5E94BA3B">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r w14:paraId="1BA285FE">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0C90758F">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4D24418B">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商务条款偏离表（格式）</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3AEA3DAC">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r w14:paraId="6E3F2930">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514A7D30">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59544D4E">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项目负责人、管理及技术人员一览表（格式）</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3C8ADACD">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r w14:paraId="2A9AD545">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16AA7494">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33968AA3">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售后服务承诺书</w:t>
            </w:r>
            <w:r>
              <w:rPr>
                <w:rFonts w:hint="eastAsia" w:ascii="宋体" w:hAnsi="宋体" w:eastAsia="宋体" w:cs="宋体"/>
                <w:color w:val="auto"/>
                <w:szCs w:val="21"/>
                <w:highlight w:val="none"/>
                <w:lang w:val="zh-CN"/>
              </w:rPr>
              <w:t>（格式）</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36924BEF">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r w14:paraId="3A2D7B12">
        <w:tblPrEx>
          <w:tblCellMar>
            <w:top w:w="0" w:type="dxa"/>
            <w:left w:w="108" w:type="dxa"/>
            <w:bottom w:w="0" w:type="dxa"/>
            <w:right w:w="108" w:type="dxa"/>
          </w:tblCellMar>
        </w:tblPrEx>
        <w:trPr>
          <w:jc w:val="center"/>
        </w:trPr>
        <w:tc>
          <w:tcPr>
            <w:tcW w:w="883" w:type="dxa"/>
            <w:tcBorders>
              <w:top w:val="single" w:color="auto" w:sz="6" w:space="0"/>
              <w:left w:val="single" w:color="auto" w:sz="6" w:space="0"/>
              <w:bottom w:val="single" w:color="auto" w:sz="6" w:space="0"/>
              <w:right w:val="single" w:color="auto" w:sz="6" w:space="0"/>
            </w:tcBorders>
            <w:noWrap w:val="0"/>
            <w:vAlign w:val="center"/>
          </w:tcPr>
          <w:p w14:paraId="756DF9D2">
            <w:pPr>
              <w:autoSpaceDE w:val="0"/>
              <w:autoSpaceDN w:val="0"/>
              <w:adjustRightInd w:val="0"/>
              <w:snapToGrid w:val="0"/>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6706" w:type="dxa"/>
            <w:tcBorders>
              <w:top w:val="single" w:color="auto" w:sz="6" w:space="0"/>
              <w:left w:val="single" w:color="auto" w:sz="6" w:space="0"/>
              <w:bottom w:val="single" w:color="auto" w:sz="6" w:space="0"/>
              <w:right w:val="single" w:color="auto" w:sz="6" w:space="0"/>
            </w:tcBorders>
            <w:noWrap w:val="0"/>
            <w:vAlign w:val="top"/>
          </w:tcPr>
          <w:p w14:paraId="37D4377E">
            <w:pPr>
              <w:autoSpaceDE w:val="0"/>
              <w:autoSpaceDN w:val="0"/>
              <w:adjustRightInd w:val="0"/>
              <w:snapToGrid w:val="0"/>
              <w:spacing w:line="34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资格审查资料及和评审相关的其他商务资料。</w:t>
            </w:r>
          </w:p>
        </w:tc>
        <w:tc>
          <w:tcPr>
            <w:tcW w:w="2010" w:type="dxa"/>
            <w:tcBorders>
              <w:top w:val="single" w:color="auto" w:sz="6" w:space="0"/>
              <w:left w:val="single" w:color="auto" w:sz="6" w:space="0"/>
              <w:bottom w:val="single" w:color="auto" w:sz="6" w:space="0"/>
              <w:right w:val="single" w:color="auto" w:sz="6" w:space="0"/>
            </w:tcBorders>
            <w:noWrap w:val="0"/>
            <w:vAlign w:val="top"/>
          </w:tcPr>
          <w:p w14:paraId="2E634045">
            <w:pPr>
              <w:autoSpaceDE w:val="0"/>
              <w:autoSpaceDN w:val="0"/>
              <w:adjustRightInd w:val="0"/>
              <w:snapToGrid w:val="0"/>
              <w:spacing w:line="340" w:lineRule="exact"/>
              <w:rPr>
                <w:rFonts w:hint="eastAsia" w:ascii="宋体" w:hAnsi="宋体" w:eastAsia="宋体" w:cs="宋体"/>
                <w:bCs/>
                <w:color w:val="auto"/>
                <w:szCs w:val="21"/>
                <w:highlight w:val="none"/>
                <w:lang w:val="zh-CN"/>
              </w:rPr>
            </w:pPr>
          </w:p>
        </w:tc>
      </w:tr>
    </w:tbl>
    <w:p w14:paraId="157DBC75">
      <w:pPr>
        <w:autoSpaceDE w:val="0"/>
        <w:autoSpaceDN w:val="0"/>
        <w:adjustRightInd w:val="0"/>
        <w:snapToGrid w:val="0"/>
        <w:spacing w:line="52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要求：</w:t>
      </w:r>
    </w:p>
    <w:p w14:paraId="060F1063">
      <w:pPr>
        <w:autoSpaceDE w:val="0"/>
        <w:autoSpaceDN w:val="0"/>
        <w:adjustRightInd w:val="0"/>
        <w:snapToGrid w:val="0"/>
        <w:spacing w:line="520" w:lineRule="exact"/>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1、投标人必须按照商务文件清单以及规定的格式和要求提交，清单中虽未列出但采购文件要求提交的商务文件，投标人也应按采购文件的要求提交。</w:t>
      </w:r>
    </w:p>
    <w:p w14:paraId="0776136E">
      <w:pPr>
        <w:autoSpaceDE w:val="0"/>
        <w:autoSpaceDN w:val="0"/>
        <w:adjustRightInd w:val="0"/>
        <w:snapToGrid w:val="0"/>
        <w:spacing w:line="520" w:lineRule="exact"/>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2、投标人在投标前应自行检查要求提交的商务文件是否已完整提交和签章，若有缺失、无效或者不符合采购文件规定，将导致其投标被拒绝。</w:t>
      </w:r>
    </w:p>
    <w:p w14:paraId="266F274C">
      <w:pPr>
        <w:autoSpaceDE w:val="0"/>
        <w:autoSpaceDN w:val="0"/>
        <w:adjustRightInd w:val="0"/>
        <w:snapToGrid w:val="0"/>
        <w:spacing w:line="520" w:lineRule="exact"/>
        <w:ind w:firstLine="482"/>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3、投标人应按本格式编制商务文件目录，并编排在商务部分首页。</w:t>
      </w:r>
    </w:p>
    <w:p w14:paraId="76FB9427">
      <w:pPr>
        <w:autoSpaceDE w:val="0"/>
        <w:autoSpaceDN w:val="0"/>
        <w:adjustRightInd w:val="0"/>
        <w:snapToGrid w:val="0"/>
        <w:spacing w:line="520" w:lineRule="exact"/>
        <w:rPr>
          <w:rFonts w:hint="eastAsia" w:ascii="宋体" w:hAnsi="宋体" w:eastAsia="宋体" w:cs="宋体"/>
          <w:b/>
          <w:color w:val="auto"/>
          <w:sz w:val="24"/>
          <w:highlight w:val="none"/>
          <w:lang w:val="zh-CN"/>
        </w:rPr>
      </w:pPr>
    </w:p>
    <w:p w14:paraId="20651EFC">
      <w:pPr>
        <w:autoSpaceDE w:val="0"/>
        <w:autoSpaceDN w:val="0"/>
        <w:adjustRightInd w:val="0"/>
        <w:snapToGrid w:val="0"/>
        <w:spacing w:line="520" w:lineRule="exact"/>
        <w:rPr>
          <w:rFonts w:hint="eastAsia" w:ascii="宋体" w:hAnsi="宋体" w:eastAsia="宋体" w:cs="宋体"/>
          <w:b/>
          <w:color w:val="auto"/>
          <w:sz w:val="24"/>
          <w:highlight w:val="none"/>
          <w:lang w:val="zh-CN"/>
        </w:rPr>
      </w:pPr>
    </w:p>
    <w:p w14:paraId="5788A77D">
      <w:pPr>
        <w:autoSpaceDE w:val="0"/>
        <w:autoSpaceDN w:val="0"/>
        <w:adjustRightInd w:val="0"/>
        <w:snapToGrid w:val="0"/>
        <w:spacing w:line="520" w:lineRule="exact"/>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br w:type="page"/>
      </w:r>
      <w:r>
        <w:rPr>
          <w:rFonts w:hint="eastAsia" w:ascii="宋体" w:hAnsi="宋体" w:eastAsia="宋体" w:cs="宋体"/>
          <w:b/>
          <w:color w:val="auto"/>
          <w:sz w:val="30"/>
          <w:szCs w:val="30"/>
          <w:highlight w:val="none"/>
          <w:lang w:val="zh-CN"/>
        </w:rPr>
        <w:t>一、投标函</w:t>
      </w:r>
    </w:p>
    <w:p w14:paraId="7CCFDA97">
      <w:pPr>
        <w:autoSpaceDE w:val="0"/>
        <w:autoSpaceDN w:val="0"/>
        <w:adjustRightInd w:val="0"/>
        <w:snapToGrid w:val="0"/>
        <w:spacing w:line="520" w:lineRule="exact"/>
        <w:rPr>
          <w:rFonts w:hint="eastAsia" w:ascii="宋体" w:hAnsi="宋体" w:eastAsia="宋体" w:cs="宋体"/>
          <w:color w:val="auto"/>
          <w:kern w:val="0"/>
          <w:sz w:val="24"/>
          <w:highlight w:val="none"/>
          <w:u w:val="single"/>
          <w:lang w:val="zh-CN"/>
        </w:rPr>
      </w:pPr>
    </w:p>
    <w:p w14:paraId="7F59088C">
      <w:pPr>
        <w:autoSpaceDE w:val="0"/>
        <w:autoSpaceDN w:val="0"/>
        <w:adjustRightInd w:val="0"/>
        <w:snapToGrid w:val="0"/>
        <w:spacing w:line="520" w:lineRule="exac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吉林省公安厅：</w:t>
      </w:r>
    </w:p>
    <w:p w14:paraId="076779FD">
      <w:pPr>
        <w:autoSpaceDE w:val="0"/>
        <w:autoSpaceDN w:val="0"/>
        <w:adjustRightInd w:val="0"/>
        <w:snapToGrid w:val="0"/>
        <w:spacing w:line="520" w:lineRule="exact"/>
        <w:rPr>
          <w:rFonts w:hint="eastAsia" w:ascii="宋体" w:hAnsi="宋体" w:eastAsia="宋体" w:cs="宋体"/>
          <w:color w:val="auto"/>
          <w:kern w:val="0"/>
          <w:szCs w:val="21"/>
          <w:highlight w:val="none"/>
          <w:u w:val="single"/>
          <w:lang w:val="zh-CN"/>
        </w:rPr>
      </w:pPr>
    </w:p>
    <w:p w14:paraId="4686D0A1">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根据你方政府采购</w:t>
      </w:r>
      <w:r>
        <w:rPr>
          <w:rFonts w:hint="eastAsia" w:ascii="宋体" w:hAnsi="宋体" w:eastAsia="宋体" w:cs="宋体"/>
          <w:color w:val="auto"/>
          <w:szCs w:val="21"/>
          <w:highlight w:val="none"/>
          <w:u w:val="single"/>
          <w:lang w:val="zh-CN"/>
        </w:rPr>
        <w:t xml:space="preserve">  （项目名称） </w:t>
      </w:r>
      <w:r>
        <w:rPr>
          <w:rFonts w:hint="eastAsia" w:ascii="宋体" w:hAnsi="宋体" w:eastAsia="宋体" w:cs="宋体"/>
          <w:color w:val="auto"/>
          <w:szCs w:val="21"/>
          <w:highlight w:val="none"/>
          <w:lang w:val="zh-CN"/>
        </w:rPr>
        <w:t>的编号为</w:t>
      </w:r>
      <w:r>
        <w:rPr>
          <w:rFonts w:hint="eastAsia" w:ascii="宋体" w:hAnsi="宋体" w:eastAsia="宋体" w:cs="宋体"/>
          <w:color w:val="auto"/>
          <w:szCs w:val="21"/>
          <w:highlight w:val="none"/>
          <w:u w:val="single"/>
          <w:lang w:val="zh-CN"/>
        </w:rPr>
        <w:t xml:space="preserve">   （项目编号）  </w:t>
      </w:r>
      <w:r>
        <w:rPr>
          <w:rFonts w:hint="eastAsia" w:ascii="宋体" w:hAnsi="宋体" w:eastAsia="宋体" w:cs="宋体"/>
          <w:color w:val="auto"/>
          <w:szCs w:val="21"/>
          <w:highlight w:val="none"/>
          <w:lang w:val="zh-CN"/>
        </w:rPr>
        <w:t>采购文件，我方正式授权的下述签字人</w:t>
      </w:r>
      <w:r>
        <w:rPr>
          <w:rFonts w:hint="eastAsia" w:ascii="宋体" w:hAnsi="宋体" w:eastAsia="宋体" w:cs="宋体"/>
          <w:color w:val="auto"/>
          <w:szCs w:val="21"/>
          <w:highlight w:val="none"/>
          <w:u w:val="single"/>
          <w:lang w:val="zh-CN"/>
        </w:rPr>
        <w:t xml:space="preserve">  （姓名和职务）  </w:t>
      </w:r>
      <w:r>
        <w:rPr>
          <w:rFonts w:hint="eastAsia" w:ascii="宋体" w:hAnsi="宋体" w:eastAsia="宋体" w:cs="宋体"/>
          <w:color w:val="auto"/>
          <w:szCs w:val="21"/>
          <w:highlight w:val="none"/>
          <w:lang w:val="zh-CN"/>
        </w:rPr>
        <w:t>代表我方</w:t>
      </w:r>
      <w:r>
        <w:rPr>
          <w:rFonts w:hint="eastAsia" w:ascii="宋体" w:hAnsi="宋体" w:eastAsia="宋体" w:cs="宋体"/>
          <w:color w:val="auto"/>
          <w:szCs w:val="21"/>
          <w:highlight w:val="none"/>
          <w:u w:val="single"/>
          <w:lang w:val="zh-CN"/>
        </w:rPr>
        <w:t xml:space="preserve">  （投标人名称）  </w:t>
      </w:r>
      <w:r>
        <w:rPr>
          <w:rFonts w:hint="eastAsia" w:ascii="宋体" w:hAnsi="宋体" w:eastAsia="宋体" w:cs="宋体"/>
          <w:color w:val="auto"/>
          <w:szCs w:val="21"/>
          <w:highlight w:val="none"/>
          <w:lang w:val="zh-CN"/>
        </w:rPr>
        <w:t>，按照你方采购文件的规定，并保证所提供的全部文件是真实的、有效的和准确的。</w:t>
      </w:r>
    </w:p>
    <w:p w14:paraId="31A835CA">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据此函，签字人兹宣布同意如下：</w:t>
      </w:r>
    </w:p>
    <w:p w14:paraId="648AEBFB">
      <w:pPr>
        <w:tabs>
          <w:tab w:val="left" w:pos="8175"/>
        </w:tabs>
        <w:autoSpaceDE w:val="0"/>
        <w:autoSpaceDN w:val="0"/>
        <w:adjustRightInd w:val="0"/>
        <w:snapToGrid w:val="0"/>
        <w:spacing w:line="5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1.按采购文件规定提供货物及服务的投标总价为（大写）</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元人民币。</w:t>
      </w:r>
    </w:p>
    <w:p w14:paraId="40A89769">
      <w:pPr>
        <w:tabs>
          <w:tab w:val="left" w:pos="8175"/>
        </w:tabs>
        <w:autoSpaceDE w:val="0"/>
        <w:autoSpaceDN w:val="0"/>
        <w:adjustRightInd w:val="0"/>
        <w:snapToGrid w:val="0"/>
        <w:spacing w:line="5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2.如果我方中标，我们保证根据采购文件规定履行合同责任和义务。具体交货时间承诺如下：</w:t>
      </w:r>
    </w:p>
    <w:p w14:paraId="4771D742">
      <w:pPr>
        <w:tabs>
          <w:tab w:val="left" w:pos="8175"/>
        </w:tabs>
        <w:autoSpaceDE w:val="0"/>
        <w:autoSpaceDN w:val="0"/>
        <w:adjustRightInd w:val="0"/>
        <w:snapToGrid w:val="0"/>
        <w:spacing w:line="5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color w:val="auto"/>
          <w:szCs w:val="21"/>
          <w:highlight w:val="none"/>
          <w:lang w:val="zh-CN"/>
        </w:rPr>
        <w:t>。</w:t>
      </w:r>
    </w:p>
    <w:p w14:paraId="2448F3A1">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3.我方已提交了足额的投标保证金。</w:t>
      </w:r>
    </w:p>
    <w:p w14:paraId="29D3C747">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4.如果我方中标，我方保证按照采购文件规定提交履约保证金，承担履约责任。</w:t>
      </w:r>
    </w:p>
    <w:p w14:paraId="116B0991">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5.我们已详细阅读了全部采购文件，包括采购文件的修改、补充文件、参考资料及有关的附件，我们接受采购文件的全部条款和条件，我们知道必须放弃提出含糊不清或误解的问题的权利。</w:t>
      </w:r>
    </w:p>
    <w:p w14:paraId="38E837D2">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6.我们对采购文件关于时限、程序方面的规定没有异议，保证按照采购文件规定的时限和程序参加投标活动。</w:t>
      </w:r>
    </w:p>
    <w:p w14:paraId="58B96786">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7.我们同意在投标人须知规定的开标时间起遵循本投标书，并在投标人须知规定的投标有效期满之前均具有约束力，并有可能中标。</w:t>
      </w:r>
    </w:p>
    <w:p w14:paraId="354C087D">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8.我们如果在规定的投标有效期内撤回投标，则你方可不予退还我们的投标保证金。</w:t>
      </w:r>
    </w:p>
    <w:p w14:paraId="75EDDA70">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9.我们保证向你方提供你方可能要求的与本投标有关的任何证据或资料。</w:t>
      </w:r>
    </w:p>
    <w:p w14:paraId="665A9076">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10.我们完全理解你方不一定要接受最低报价的投标或收到的任何投标。</w:t>
      </w:r>
    </w:p>
    <w:p w14:paraId="6452C7A4">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11.本投标自</w:t>
      </w:r>
      <w:r>
        <w:rPr>
          <w:rFonts w:hint="eastAsia" w:ascii="宋体" w:hAnsi="宋体" w:eastAsia="宋体" w:cs="宋体"/>
          <w:color w:val="auto"/>
          <w:highlight w:val="none"/>
        </w:rPr>
        <w:t>投标截止之日起90天（日历天）</w:t>
      </w:r>
      <w:r>
        <w:rPr>
          <w:rFonts w:hint="eastAsia" w:ascii="宋体" w:hAnsi="宋体" w:eastAsia="宋体" w:cs="宋体"/>
          <w:color w:val="auto"/>
          <w:szCs w:val="21"/>
          <w:highlight w:val="none"/>
          <w:lang w:val="zh-CN"/>
        </w:rPr>
        <w:t>内有效。</w:t>
      </w:r>
    </w:p>
    <w:p w14:paraId="4CEC1071">
      <w:pPr>
        <w:tabs>
          <w:tab w:val="left" w:pos="709"/>
        </w:tabs>
        <w:autoSpaceDE w:val="0"/>
        <w:autoSpaceDN w:val="0"/>
        <w:adjustRightInd w:val="0"/>
        <w:snapToGrid w:val="0"/>
        <w:spacing w:line="520" w:lineRule="exact"/>
        <w:ind w:firstLine="48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12.我方保证严格遵守《中华人民共和国政府采购法》的有关规定，若有下列情形之一的，我方将被处不予退还投标保证金，列入不良行为记录名单，在一至三年内禁止参加政府采购活动，并予以公告：</w:t>
      </w:r>
    </w:p>
    <w:p w14:paraId="0462A3F5">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）提供虚假材料谋取中标、成交的；</w:t>
      </w:r>
    </w:p>
    <w:p w14:paraId="3564822D">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）采取不正当手段诋毁、排挤其他投标人的；</w:t>
      </w:r>
    </w:p>
    <w:p w14:paraId="2FDDAA36">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）与其他投标人、采购代理机构、采购单位人员或者其他有关人员恶意串通的；</w:t>
      </w:r>
    </w:p>
    <w:p w14:paraId="5C93EC25">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）向评标委员会成员、采购代理机构、采购单位人员或者其他有关人员行贿或者提供其他不正当利益的；</w:t>
      </w:r>
    </w:p>
    <w:p w14:paraId="755C3773">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）被评定中标后无正当理由不与采购人或者采购代理机构订立合同，或者中标后不按采购文件和中标供应商的投标文件订立合同，或者与采购人另行订立背离合同实质性内容的协议的；</w:t>
      </w:r>
    </w:p>
    <w:p w14:paraId="446D7BC9">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）将中标项目转让给他人或者将中标项目分包给他人的；</w:t>
      </w:r>
    </w:p>
    <w:p w14:paraId="6395EC0E">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）签订合同后拒绝履行合同义务的；</w:t>
      </w:r>
    </w:p>
    <w:p w14:paraId="7FE7A3E6">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）拒绝有关部门监督检查或提供虚假情况的。</w:t>
      </w:r>
    </w:p>
    <w:p w14:paraId="2EED23BB">
      <w:pPr>
        <w:autoSpaceDE w:val="0"/>
        <w:autoSpaceDN w:val="0"/>
        <w:adjustRightInd w:val="0"/>
        <w:snapToGrid w:val="0"/>
        <w:spacing w:line="520" w:lineRule="exact"/>
        <w:ind w:firstLine="480"/>
        <w:rPr>
          <w:rFonts w:hint="eastAsia" w:ascii="宋体" w:hAnsi="宋体" w:eastAsia="宋体" w:cs="宋体"/>
          <w:color w:val="auto"/>
          <w:szCs w:val="21"/>
          <w:highlight w:val="none"/>
        </w:rPr>
      </w:pPr>
    </w:p>
    <w:p w14:paraId="1DDD8A2B">
      <w:pPr>
        <w:autoSpaceDE w:val="0"/>
        <w:autoSpaceDN w:val="0"/>
        <w:adjustRightInd w:val="0"/>
        <w:snapToGrid w:val="0"/>
        <w:spacing w:line="520" w:lineRule="exact"/>
        <w:ind w:firstLine="482"/>
        <w:rPr>
          <w:rFonts w:hint="eastAsia" w:ascii="宋体" w:hAnsi="宋体" w:eastAsia="宋体" w:cs="宋体"/>
          <w:b/>
          <w:color w:val="auto"/>
          <w:szCs w:val="21"/>
          <w:highlight w:val="none"/>
          <w:u w:val="single"/>
          <w:lang w:val="zh-CN"/>
        </w:rPr>
      </w:pPr>
      <w:r>
        <w:rPr>
          <w:rFonts w:hint="eastAsia" w:ascii="宋体" w:hAnsi="宋体" w:eastAsia="宋体" w:cs="宋体"/>
          <w:b/>
          <w:bCs/>
          <w:color w:val="auto"/>
          <w:szCs w:val="21"/>
          <w:highlight w:val="none"/>
        </w:rPr>
        <w:t>投标单位全称</w:t>
      </w:r>
      <w:r>
        <w:rPr>
          <w:rFonts w:hint="eastAsia" w:ascii="宋体" w:hAnsi="宋体" w:eastAsia="宋体" w:cs="宋体"/>
          <w:b/>
          <w:color w:val="auto"/>
          <w:szCs w:val="21"/>
          <w:highlight w:val="none"/>
          <w:lang w:val="zh-CN"/>
        </w:rPr>
        <w:t>（加盖公章）：</w:t>
      </w:r>
      <w:r>
        <w:rPr>
          <w:rFonts w:hint="eastAsia" w:ascii="宋体" w:hAnsi="宋体" w:eastAsia="宋体" w:cs="宋体"/>
          <w:b/>
          <w:color w:val="auto"/>
          <w:szCs w:val="21"/>
          <w:highlight w:val="none"/>
          <w:u w:val="single"/>
          <w:lang w:val="zh-CN"/>
        </w:rPr>
        <w:t xml:space="preserve">                    </w:t>
      </w:r>
    </w:p>
    <w:p w14:paraId="2F2B3A3F">
      <w:pPr>
        <w:autoSpaceDE w:val="0"/>
        <w:autoSpaceDN w:val="0"/>
        <w:adjustRightInd w:val="0"/>
        <w:snapToGrid w:val="0"/>
        <w:spacing w:line="520" w:lineRule="exact"/>
        <w:ind w:firstLine="48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法定代表人或授权代理人（盖章或签字）</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u w:val="single"/>
          <w:lang w:val="zh-CN"/>
        </w:rPr>
        <w:t xml:space="preserve">        </w:t>
      </w:r>
    </w:p>
    <w:p w14:paraId="7A0BA5C1">
      <w:pPr>
        <w:autoSpaceDE w:val="0"/>
        <w:autoSpaceDN w:val="0"/>
        <w:adjustRightInd w:val="0"/>
        <w:snapToGrid w:val="0"/>
        <w:spacing w:line="520" w:lineRule="exact"/>
        <w:ind w:firstLine="48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lang w:val="zh-CN"/>
        </w:rPr>
        <w:t>地址：</w:t>
      </w:r>
      <w:r>
        <w:rPr>
          <w:rFonts w:hint="eastAsia" w:ascii="宋体" w:hAnsi="宋体" w:eastAsia="宋体" w:cs="宋体"/>
          <w:b/>
          <w:color w:val="auto"/>
          <w:szCs w:val="21"/>
          <w:highlight w:val="none"/>
          <w:u w:val="single"/>
          <w:lang w:val="zh-CN"/>
        </w:rPr>
        <w:t xml:space="preserve">                                       </w:t>
      </w:r>
    </w:p>
    <w:p w14:paraId="3AD0225F">
      <w:pPr>
        <w:autoSpaceDE w:val="0"/>
        <w:autoSpaceDN w:val="0"/>
        <w:adjustRightInd w:val="0"/>
        <w:snapToGrid w:val="0"/>
        <w:spacing w:line="520" w:lineRule="exact"/>
        <w:ind w:firstLine="48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lang w:val="zh-CN"/>
        </w:rPr>
        <w:t>电话、传真或电传：</w:t>
      </w:r>
      <w:r>
        <w:rPr>
          <w:rFonts w:hint="eastAsia" w:ascii="宋体" w:hAnsi="宋体" w:eastAsia="宋体" w:cs="宋体"/>
          <w:b/>
          <w:color w:val="auto"/>
          <w:szCs w:val="21"/>
          <w:highlight w:val="none"/>
          <w:u w:val="single"/>
          <w:lang w:val="zh-CN"/>
        </w:rPr>
        <w:t xml:space="preserve">                           </w:t>
      </w:r>
    </w:p>
    <w:p w14:paraId="5C250F37">
      <w:pPr>
        <w:autoSpaceDE w:val="0"/>
        <w:autoSpaceDN w:val="0"/>
        <w:adjustRightInd w:val="0"/>
        <w:snapToGrid w:val="0"/>
        <w:spacing w:line="520" w:lineRule="exact"/>
        <w:ind w:firstLine="48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lang w:val="zh-CN"/>
        </w:rPr>
        <w:t>邮政编码：</w:t>
      </w:r>
      <w:r>
        <w:rPr>
          <w:rFonts w:hint="eastAsia" w:ascii="宋体" w:hAnsi="宋体" w:eastAsia="宋体" w:cs="宋体"/>
          <w:b/>
          <w:color w:val="auto"/>
          <w:szCs w:val="21"/>
          <w:highlight w:val="none"/>
          <w:u w:val="single"/>
          <w:lang w:val="zh-CN"/>
        </w:rPr>
        <w:t xml:space="preserve">                                   </w:t>
      </w:r>
    </w:p>
    <w:p w14:paraId="56D98442">
      <w:pPr>
        <w:autoSpaceDE w:val="0"/>
        <w:autoSpaceDN w:val="0"/>
        <w:adjustRightInd w:val="0"/>
        <w:snapToGrid w:val="0"/>
        <w:spacing w:line="520" w:lineRule="exact"/>
        <w:ind w:firstLine="48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lang w:val="zh-CN"/>
        </w:rPr>
        <w:t xml:space="preserve">日期： </w:t>
      </w:r>
      <w:r>
        <w:rPr>
          <w:rFonts w:hint="eastAsia" w:ascii="宋体" w:hAnsi="宋体" w:eastAsia="宋体" w:cs="宋体"/>
          <w:b/>
          <w:color w:val="auto"/>
          <w:szCs w:val="21"/>
          <w:highlight w:val="none"/>
          <w:u w:val="single"/>
          <w:lang w:val="zh-CN"/>
        </w:rPr>
        <w:t xml:space="preserve">                                      </w:t>
      </w:r>
    </w:p>
    <w:p w14:paraId="44606A2C">
      <w:pPr>
        <w:autoSpaceDE w:val="0"/>
        <w:autoSpaceDN w:val="0"/>
        <w:adjustRightInd w:val="0"/>
        <w:snapToGrid w:val="0"/>
        <w:spacing w:line="520" w:lineRule="exact"/>
        <w:ind w:firstLine="472"/>
        <w:rPr>
          <w:rFonts w:hint="eastAsia" w:ascii="宋体" w:hAnsi="宋体" w:eastAsia="宋体" w:cs="宋体"/>
          <w:color w:val="auto"/>
          <w:szCs w:val="21"/>
          <w:highlight w:val="none"/>
          <w:lang w:val="zh-CN"/>
        </w:rPr>
      </w:pPr>
    </w:p>
    <w:p w14:paraId="4612BCEF">
      <w:pPr>
        <w:autoSpaceDE w:val="0"/>
        <w:autoSpaceDN w:val="0"/>
        <w:adjustRightInd w:val="0"/>
        <w:snapToGrid w:val="0"/>
        <w:spacing w:line="520" w:lineRule="exact"/>
        <w:rPr>
          <w:rFonts w:hint="eastAsia" w:ascii="宋体" w:hAnsi="宋体" w:eastAsia="宋体" w:cs="宋体"/>
          <w:color w:val="auto"/>
          <w:szCs w:val="21"/>
          <w:highlight w:val="none"/>
          <w:lang w:val="zh-CN"/>
        </w:rPr>
        <w:sectPr>
          <w:type w:val="continuous"/>
          <w:pgSz w:w="11906" w:h="16838"/>
          <w:pgMar w:top="1814" w:right="1361" w:bottom="1701" w:left="1440" w:header="850" w:footer="992" w:gutter="0"/>
          <w:pgNumType w:fmt="decimal"/>
          <w:cols w:space="720" w:num="1"/>
          <w:titlePg/>
          <w:rtlGutter w:val="0"/>
          <w:docGrid w:type="lines" w:linePitch="317" w:charSpace="0"/>
        </w:sectPr>
      </w:pPr>
    </w:p>
    <w:p w14:paraId="7B0D8B93">
      <w:pPr>
        <w:autoSpaceDE w:val="0"/>
        <w:autoSpaceDN w:val="0"/>
        <w:adjustRightInd w:val="0"/>
        <w:snapToGrid w:val="0"/>
        <w:spacing w:line="520" w:lineRule="exact"/>
        <w:jc w:val="center"/>
        <w:rPr>
          <w:rFonts w:hint="eastAsia" w:ascii="宋体" w:hAnsi="宋体" w:eastAsia="宋体" w:cs="宋体"/>
          <w:b/>
          <w:color w:val="auto"/>
          <w:sz w:val="30"/>
          <w:szCs w:val="30"/>
          <w:highlight w:val="none"/>
          <w:u w:val="single"/>
          <w:lang w:val="zh-CN"/>
        </w:rPr>
      </w:pPr>
      <w:r>
        <w:rPr>
          <w:rFonts w:hint="eastAsia" w:ascii="宋体" w:hAnsi="宋体" w:eastAsia="宋体" w:cs="宋体"/>
          <w:b/>
          <w:color w:val="auto"/>
          <w:sz w:val="30"/>
          <w:szCs w:val="30"/>
          <w:highlight w:val="none"/>
          <w:lang w:val="zh-CN"/>
        </w:rPr>
        <w:t>二、开标一览表</w:t>
      </w:r>
    </w:p>
    <w:p w14:paraId="4101DDA6">
      <w:pPr>
        <w:autoSpaceDE w:val="0"/>
        <w:autoSpaceDN w:val="0"/>
        <w:adjustRightInd w:val="0"/>
        <w:snapToGrid w:val="0"/>
        <w:spacing w:line="52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以政采云平台为准</w:t>
      </w:r>
    </w:p>
    <w:p w14:paraId="0102EB27">
      <w:pPr>
        <w:rPr>
          <w:rFonts w:hint="eastAsia" w:ascii="宋体" w:hAnsi="宋体" w:cs="宋体"/>
          <w:color w:val="auto"/>
          <w:sz w:val="24"/>
          <w:highlight w:val="none"/>
          <w:lang w:val="zh-CN"/>
        </w:rPr>
      </w:pPr>
      <w:r>
        <w:rPr>
          <w:rFonts w:hint="eastAsia" w:ascii="宋体" w:hAnsi="宋体" w:cs="宋体"/>
          <w:color w:val="auto"/>
          <w:sz w:val="24"/>
          <w:highlight w:val="none"/>
          <w:lang w:val="zh-CN"/>
        </w:rPr>
        <w:br w:type="page"/>
      </w:r>
    </w:p>
    <w:p w14:paraId="297DCDBC">
      <w:pPr>
        <w:autoSpaceDE w:val="0"/>
        <w:autoSpaceDN w:val="0"/>
        <w:adjustRightInd w:val="0"/>
        <w:snapToGrid w:val="0"/>
        <w:spacing w:line="520" w:lineRule="exact"/>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三、投标报价明细表</w:t>
      </w:r>
    </w:p>
    <w:p w14:paraId="2593EF06">
      <w:pPr>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4AA98723">
      <w:pPr>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6CBC03A2">
      <w:pPr>
        <w:jc w:val="left"/>
        <w:rPr>
          <w:rFonts w:hint="eastAsia" w:ascii="宋体" w:hAnsi="宋体" w:eastAsia="宋体" w:cs="宋体"/>
          <w:color w:val="auto"/>
          <w:szCs w:val="21"/>
          <w:highlight w:val="none"/>
        </w:rPr>
      </w:pPr>
    </w:p>
    <w:p w14:paraId="5FABE5B8">
      <w:pPr>
        <w:jc w:val="left"/>
        <w:rPr>
          <w:rFonts w:hint="eastAsia" w:ascii="宋体" w:hAnsi="宋体" w:eastAsia="宋体" w:cs="宋体"/>
          <w:color w:val="auto"/>
          <w:szCs w:val="21"/>
          <w:highlight w:val="none"/>
        </w:rPr>
      </w:pPr>
    </w:p>
    <w:p w14:paraId="22F67554">
      <w:pPr>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格式自拟</w:t>
      </w:r>
    </w:p>
    <w:p w14:paraId="0B53A29D">
      <w:pPr>
        <w:jc w:val="left"/>
        <w:rPr>
          <w:rFonts w:hint="eastAsia" w:ascii="宋体" w:hAnsi="宋体" w:eastAsia="宋体" w:cs="宋体"/>
          <w:color w:val="auto"/>
          <w:szCs w:val="21"/>
          <w:highlight w:val="none"/>
        </w:rPr>
      </w:pPr>
    </w:p>
    <w:p w14:paraId="5DA979C0">
      <w:pPr>
        <w:jc w:val="left"/>
        <w:rPr>
          <w:rFonts w:hint="eastAsia" w:ascii="宋体" w:hAnsi="宋体" w:eastAsia="宋体" w:cs="宋体"/>
          <w:color w:val="auto"/>
          <w:szCs w:val="21"/>
          <w:highlight w:val="none"/>
        </w:rPr>
      </w:pPr>
    </w:p>
    <w:p w14:paraId="6DCDA2C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F977F5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1．所有价格均用人民币表示，单位为元。</w:t>
      </w:r>
    </w:p>
    <w:p w14:paraId="76BF512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2．报价明细表合计应与《开标一览表》中的投标报价一致。</w:t>
      </w:r>
    </w:p>
    <w:p w14:paraId="6072A26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snapToGrid w:val="0"/>
          <w:color w:val="auto"/>
          <w:kern w:val="0"/>
          <w:szCs w:val="21"/>
          <w:highlight w:val="none"/>
        </w:rPr>
        <w:t xml:space="preserve"> 提报的投标报价是为完成该</w:t>
      </w:r>
      <w:r>
        <w:rPr>
          <w:rFonts w:hint="eastAsia" w:ascii="宋体" w:hAnsi="宋体" w:eastAsia="宋体" w:cs="宋体"/>
          <w:bCs/>
          <w:snapToGrid w:val="0"/>
          <w:color w:val="auto"/>
          <w:kern w:val="0"/>
          <w:szCs w:val="21"/>
          <w:highlight w:val="none"/>
          <w:lang w:val="en-US" w:eastAsia="zh-CN"/>
        </w:rPr>
        <w:t>项目</w:t>
      </w:r>
      <w:r>
        <w:rPr>
          <w:rFonts w:hint="eastAsia" w:ascii="宋体" w:hAnsi="宋体" w:eastAsia="宋体" w:cs="宋体"/>
          <w:bCs/>
          <w:snapToGrid w:val="0"/>
          <w:color w:val="auto"/>
          <w:kern w:val="0"/>
          <w:szCs w:val="21"/>
          <w:highlight w:val="none"/>
        </w:rPr>
        <w:t>全部工作所需的一切费用（</w:t>
      </w:r>
      <w:r>
        <w:rPr>
          <w:rFonts w:hint="eastAsia" w:ascii="宋体" w:hAnsi="宋体" w:eastAsia="宋体" w:cs="宋体"/>
          <w:color w:val="auto"/>
          <w:szCs w:val="21"/>
          <w:highlight w:val="none"/>
        </w:rPr>
        <w:t>具体要求详见</w:t>
      </w:r>
      <w:r>
        <w:rPr>
          <w:rFonts w:hint="eastAsia" w:ascii="宋体" w:hAnsi="宋体" w:eastAsia="宋体" w:cs="宋体"/>
          <w:bCs/>
          <w:snapToGrid w:val="0"/>
          <w:color w:val="auto"/>
          <w:kern w:val="0"/>
          <w:szCs w:val="21"/>
          <w:highlight w:val="none"/>
          <w:lang w:eastAsia="zh-CN"/>
        </w:rPr>
        <w:t>采购文件</w:t>
      </w:r>
      <w:r>
        <w:rPr>
          <w:rFonts w:hint="eastAsia" w:ascii="宋体" w:hAnsi="宋体" w:eastAsia="宋体" w:cs="宋体"/>
          <w:bCs/>
          <w:snapToGrid w:val="0"/>
          <w:color w:val="auto"/>
          <w:kern w:val="0"/>
          <w:szCs w:val="21"/>
          <w:highlight w:val="none"/>
        </w:rPr>
        <w:t>第二章《投标人须知》中第10条的规定）。</w:t>
      </w:r>
      <w:r>
        <w:rPr>
          <w:rFonts w:hint="eastAsia" w:ascii="宋体" w:hAnsi="宋体" w:eastAsia="宋体" w:cs="宋体"/>
          <w:color w:val="auto"/>
          <w:szCs w:val="21"/>
          <w:highlight w:val="none"/>
        </w:rPr>
        <w:t xml:space="preserve">   </w:t>
      </w:r>
    </w:p>
    <w:p w14:paraId="5EFA6C0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4.未提供详细的报价明细，导致的后果由投标人自行承担。特别的，缺漏核心产品报价的，投标无效。</w:t>
      </w:r>
    </w:p>
    <w:p w14:paraId="4075FF1B">
      <w:pPr>
        <w:adjustRightInd w:val="0"/>
        <w:snapToGrid w:val="0"/>
        <w:jc w:val="center"/>
        <w:rPr>
          <w:rFonts w:hint="eastAsia" w:ascii="宋体" w:hAnsi="宋体" w:eastAsia="宋体" w:cs="宋体"/>
          <w:color w:val="auto"/>
          <w:szCs w:val="21"/>
          <w:highlight w:val="none"/>
        </w:rPr>
      </w:pPr>
    </w:p>
    <w:p w14:paraId="24C59A83">
      <w:pPr>
        <w:adjustRightInd w:val="0"/>
        <w:snapToGrid w:val="0"/>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br w:type="page"/>
      </w:r>
      <w:r>
        <w:rPr>
          <w:rFonts w:hint="eastAsia" w:ascii="宋体" w:hAnsi="宋体" w:eastAsia="宋体" w:cs="宋体"/>
          <w:b/>
          <w:color w:val="auto"/>
          <w:sz w:val="30"/>
          <w:szCs w:val="30"/>
          <w:highlight w:val="none"/>
          <w:lang w:val="zh-CN"/>
        </w:rPr>
        <w:t>四、企业简介</w:t>
      </w:r>
    </w:p>
    <w:p w14:paraId="448C1E5D">
      <w:pPr>
        <w:autoSpaceDE w:val="0"/>
        <w:autoSpaceDN w:val="0"/>
        <w:adjustRightInd w:val="0"/>
        <w:snapToGrid w:val="0"/>
        <w:spacing w:line="520" w:lineRule="exact"/>
        <w:ind w:firstLine="435"/>
        <w:rPr>
          <w:rFonts w:hint="eastAsia" w:ascii="宋体" w:hAnsi="宋体" w:eastAsia="宋体" w:cs="宋体"/>
          <w:color w:val="auto"/>
          <w:sz w:val="24"/>
          <w:highlight w:val="none"/>
        </w:rPr>
      </w:pPr>
    </w:p>
    <w:p w14:paraId="60BF76A8">
      <w:pPr>
        <w:autoSpaceDE w:val="0"/>
        <w:autoSpaceDN w:val="0"/>
        <w:adjustRightInd w:val="0"/>
        <w:snapToGrid w:val="0"/>
        <w:spacing w:line="52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可文字描述：企业性质、发展历程、经营规模、管理模式、服务理念、主营产品（代理产品）、技术力量等。</w:t>
      </w:r>
    </w:p>
    <w:p w14:paraId="4FB2DB81">
      <w:pPr>
        <w:autoSpaceDE w:val="0"/>
        <w:autoSpaceDN w:val="0"/>
        <w:adjustRightInd w:val="0"/>
        <w:snapToGrid w:val="0"/>
        <w:spacing w:line="52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也可加入图片描述：主要产品、经营场所、生产场所、工艺流程等。</w:t>
      </w:r>
    </w:p>
    <w:p w14:paraId="21F5610F">
      <w:pPr>
        <w:autoSpaceDE w:val="0"/>
        <w:autoSpaceDN w:val="0"/>
        <w:adjustRightInd w:val="0"/>
        <w:snapToGrid w:val="0"/>
        <w:spacing w:line="520" w:lineRule="exact"/>
        <w:rPr>
          <w:rFonts w:hint="eastAsia" w:ascii="宋体" w:hAnsi="宋体" w:eastAsia="宋体" w:cs="宋体"/>
          <w:color w:val="auto"/>
          <w:szCs w:val="21"/>
          <w:highlight w:val="none"/>
        </w:rPr>
      </w:pPr>
    </w:p>
    <w:p w14:paraId="348CEF3E">
      <w:pPr>
        <w:autoSpaceDE w:val="0"/>
        <w:autoSpaceDN w:val="0"/>
        <w:adjustRightInd w:val="0"/>
        <w:snapToGrid w:val="0"/>
        <w:spacing w:line="520" w:lineRule="exact"/>
        <w:rPr>
          <w:rFonts w:hint="eastAsia" w:ascii="宋体" w:hAnsi="宋体" w:eastAsia="宋体" w:cs="宋体"/>
          <w:color w:val="auto"/>
          <w:szCs w:val="21"/>
          <w:highlight w:val="none"/>
        </w:rPr>
      </w:pPr>
    </w:p>
    <w:p w14:paraId="5C9FBDB0">
      <w:pPr>
        <w:autoSpaceDE w:val="0"/>
        <w:autoSpaceDN w:val="0"/>
        <w:adjustRightInd w:val="0"/>
        <w:snapToGrid w:val="0"/>
        <w:spacing w:line="520" w:lineRule="exact"/>
        <w:rPr>
          <w:rFonts w:hint="eastAsia" w:ascii="宋体" w:hAnsi="宋体" w:eastAsia="宋体" w:cs="宋体"/>
          <w:color w:val="auto"/>
          <w:szCs w:val="21"/>
          <w:highlight w:val="none"/>
        </w:rPr>
      </w:pPr>
    </w:p>
    <w:p w14:paraId="737272CC">
      <w:pPr>
        <w:autoSpaceDE w:val="0"/>
        <w:autoSpaceDN w:val="0"/>
        <w:adjustRightInd w:val="0"/>
        <w:snapToGrid w:val="0"/>
        <w:spacing w:line="520" w:lineRule="exact"/>
        <w:rPr>
          <w:rFonts w:hint="eastAsia" w:ascii="宋体" w:hAnsi="宋体" w:eastAsia="宋体" w:cs="宋体"/>
          <w:color w:val="auto"/>
          <w:sz w:val="24"/>
          <w:highlight w:val="none"/>
        </w:rPr>
      </w:pPr>
    </w:p>
    <w:p w14:paraId="01AA46A4">
      <w:pPr>
        <w:autoSpaceDE w:val="0"/>
        <w:autoSpaceDN w:val="0"/>
        <w:adjustRightInd w:val="0"/>
        <w:snapToGrid w:val="0"/>
        <w:spacing w:line="520" w:lineRule="exact"/>
        <w:rPr>
          <w:rFonts w:hint="eastAsia" w:ascii="宋体" w:hAnsi="宋体" w:eastAsia="宋体" w:cs="宋体"/>
          <w:color w:val="auto"/>
          <w:sz w:val="24"/>
          <w:highlight w:val="none"/>
        </w:rPr>
      </w:pPr>
    </w:p>
    <w:p w14:paraId="08260533">
      <w:pPr>
        <w:autoSpaceDE w:val="0"/>
        <w:autoSpaceDN w:val="0"/>
        <w:adjustRightInd w:val="0"/>
        <w:snapToGrid w:val="0"/>
        <w:spacing w:line="520" w:lineRule="exact"/>
        <w:rPr>
          <w:rFonts w:hint="eastAsia" w:ascii="宋体" w:hAnsi="宋体" w:eastAsia="宋体" w:cs="宋体"/>
          <w:color w:val="auto"/>
          <w:sz w:val="24"/>
          <w:highlight w:val="none"/>
        </w:rPr>
      </w:pPr>
    </w:p>
    <w:p w14:paraId="41CEDB56">
      <w:pPr>
        <w:autoSpaceDE w:val="0"/>
        <w:autoSpaceDN w:val="0"/>
        <w:adjustRightInd w:val="0"/>
        <w:snapToGrid w:val="0"/>
        <w:spacing w:line="520" w:lineRule="exact"/>
        <w:rPr>
          <w:rFonts w:hint="eastAsia" w:ascii="宋体" w:hAnsi="宋体" w:eastAsia="宋体" w:cs="宋体"/>
          <w:color w:val="auto"/>
          <w:sz w:val="24"/>
          <w:highlight w:val="none"/>
        </w:rPr>
      </w:pPr>
    </w:p>
    <w:p w14:paraId="24472918">
      <w:pPr>
        <w:autoSpaceDE w:val="0"/>
        <w:autoSpaceDN w:val="0"/>
        <w:adjustRightInd w:val="0"/>
        <w:snapToGrid w:val="0"/>
        <w:spacing w:line="520" w:lineRule="exact"/>
        <w:rPr>
          <w:rFonts w:hint="eastAsia" w:ascii="宋体" w:hAnsi="宋体" w:eastAsia="宋体" w:cs="宋体"/>
          <w:color w:val="auto"/>
          <w:sz w:val="24"/>
          <w:highlight w:val="none"/>
        </w:rPr>
      </w:pPr>
    </w:p>
    <w:p w14:paraId="44627EF4">
      <w:pPr>
        <w:autoSpaceDE w:val="0"/>
        <w:autoSpaceDN w:val="0"/>
        <w:adjustRightInd w:val="0"/>
        <w:snapToGrid w:val="0"/>
        <w:spacing w:line="520" w:lineRule="exact"/>
        <w:rPr>
          <w:rFonts w:hint="eastAsia" w:ascii="宋体" w:hAnsi="宋体" w:eastAsia="宋体" w:cs="宋体"/>
          <w:color w:val="auto"/>
          <w:sz w:val="24"/>
          <w:highlight w:val="none"/>
        </w:rPr>
      </w:pPr>
    </w:p>
    <w:p w14:paraId="04AD7E51">
      <w:pPr>
        <w:autoSpaceDE w:val="0"/>
        <w:autoSpaceDN w:val="0"/>
        <w:adjustRightInd w:val="0"/>
        <w:snapToGrid w:val="0"/>
        <w:spacing w:line="520" w:lineRule="exact"/>
        <w:rPr>
          <w:rFonts w:hint="eastAsia" w:ascii="宋体" w:hAnsi="宋体" w:eastAsia="宋体" w:cs="宋体"/>
          <w:color w:val="auto"/>
          <w:sz w:val="24"/>
          <w:highlight w:val="none"/>
        </w:rPr>
      </w:pPr>
    </w:p>
    <w:p w14:paraId="03BA8B02">
      <w:pPr>
        <w:autoSpaceDE w:val="0"/>
        <w:autoSpaceDN w:val="0"/>
        <w:adjustRightInd w:val="0"/>
        <w:snapToGrid w:val="0"/>
        <w:spacing w:line="520" w:lineRule="exact"/>
        <w:rPr>
          <w:rFonts w:hint="eastAsia" w:ascii="宋体" w:hAnsi="宋体" w:eastAsia="宋体" w:cs="宋体"/>
          <w:color w:val="auto"/>
          <w:sz w:val="24"/>
          <w:highlight w:val="none"/>
        </w:rPr>
      </w:pPr>
    </w:p>
    <w:p w14:paraId="313580EF">
      <w:pPr>
        <w:autoSpaceDE w:val="0"/>
        <w:autoSpaceDN w:val="0"/>
        <w:adjustRightInd w:val="0"/>
        <w:snapToGrid w:val="0"/>
        <w:spacing w:line="520" w:lineRule="exact"/>
        <w:rPr>
          <w:rFonts w:hint="eastAsia" w:ascii="宋体" w:hAnsi="宋体" w:eastAsia="宋体" w:cs="宋体"/>
          <w:color w:val="auto"/>
          <w:sz w:val="24"/>
          <w:highlight w:val="none"/>
        </w:rPr>
      </w:pPr>
    </w:p>
    <w:p w14:paraId="6BDBACA5">
      <w:pPr>
        <w:autoSpaceDE w:val="0"/>
        <w:autoSpaceDN w:val="0"/>
        <w:adjustRightInd w:val="0"/>
        <w:snapToGrid w:val="0"/>
        <w:spacing w:line="520" w:lineRule="exact"/>
        <w:rPr>
          <w:rFonts w:hint="eastAsia" w:ascii="宋体" w:hAnsi="宋体" w:eastAsia="宋体" w:cs="宋体"/>
          <w:color w:val="auto"/>
          <w:sz w:val="24"/>
          <w:highlight w:val="none"/>
        </w:rPr>
      </w:pPr>
    </w:p>
    <w:p w14:paraId="5EA8F413">
      <w:pPr>
        <w:autoSpaceDE w:val="0"/>
        <w:autoSpaceDN w:val="0"/>
        <w:adjustRightInd w:val="0"/>
        <w:snapToGrid w:val="0"/>
        <w:spacing w:line="520" w:lineRule="exact"/>
        <w:rPr>
          <w:rFonts w:hint="eastAsia" w:ascii="宋体" w:hAnsi="宋体" w:eastAsia="宋体" w:cs="宋体"/>
          <w:color w:val="auto"/>
          <w:sz w:val="24"/>
          <w:highlight w:val="none"/>
        </w:rPr>
      </w:pPr>
    </w:p>
    <w:p w14:paraId="5D2C9E53">
      <w:pPr>
        <w:autoSpaceDE w:val="0"/>
        <w:autoSpaceDN w:val="0"/>
        <w:adjustRightInd w:val="0"/>
        <w:snapToGrid w:val="0"/>
        <w:spacing w:line="520" w:lineRule="exact"/>
        <w:rPr>
          <w:rFonts w:hint="eastAsia" w:ascii="宋体" w:hAnsi="宋体" w:eastAsia="宋体" w:cs="宋体"/>
          <w:color w:val="auto"/>
          <w:sz w:val="24"/>
          <w:highlight w:val="none"/>
        </w:rPr>
      </w:pPr>
    </w:p>
    <w:p w14:paraId="000A8EB3">
      <w:pPr>
        <w:autoSpaceDE w:val="0"/>
        <w:autoSpaceDN w:val="0"/>
        <w:adjustRightInd w:val="0"/>
        <w:snapToGrid w:val="0"/>
        <w:spacing w:line="520" w:lineRule="exact"/>
        <w:rPr>
          <w:rFonts w:hint="eastAsia" w:ascii="宋体" w:hAnsi="宋体" w:eastAsia="宋体" w:cs="宋体"/>
          <w:color w:val="auto"/>
          <w:sz w:val="24"/>
          <w:highlight w:val="none"/>
        </w:rPr>
      </w:pPr>
    </w:p>
    <w:p w14:paraId="52CAC825">
      <w:pPr>
        <w:autoSpaceDE w:val="0"/>
        <w:autoSpaceDN w:val="0"/>
        <w:adjustRightInd w:val="0"/>
        <w:snapToGrid w:val="0"/>
        <w:spacing w:line="520" w:lineRule="exact"/>
        <w:rPr>
          <w:rFonts w:hint="eastAsia" w:ascii="宋体" w:hAnsi="宋体" w:eastAsia="宋体" w:cs="宋体"/>
          <w:color w:val="auto"/>
          <w:sz w:val="24"/>
          <w:highlight w:val="none"/>
        </w:rPr>
      </w:pPr>
    </w:p>
    <w:p w14:paraId="1D800FC8">
      <w:pPr>
        <w:autoSpaceDE w:val="0"/>
        <w:autoSpaceDN w:val="0"/>
        <w:adjustRightInd w:val="0"/>
        <w:snapToGrid w:val="0"/>
        <w:spacing w:line="520" w:lineRule="exact"/>
        <w:rPr>
          <w:rFonts w:hint="eastAsia" w:ascii="宋体" w:hAnsi="宋体" w:eastAsia="宋体" w:cs="宋体"/>
          <w:color w:val="auto"/>
          <w:sz w:val="24"/>
          <w:highlight w:val="none"/>
        </w:rPr>
      </w:pPr>
    </w:p>
    <w:p w14:paraId="7A787CD9">
      <w:pPr>
        <w:autoSpaceDE w:val="0"/>
        <w:autoSpaceDN w:val="0"/>
        <w:adjustRightInd w:val="0"/>
        <w:snapToGrid w:val="0"/>
        <w:spacing w:line="520" w:lineRule="exact"/>
        <w:rPr>
          <w:rFonts w:hint="eastAsia" w:ascii="宋体" w:hAnsi="宋体" w:eastAsia="宋体" w:cs="宋体"/>
          <w:color w:val="auto"/>
          <w:sz w:val="24"/>
          <w:highlight w:val="none"/>
        </w:rPr>
      </w:pPr>
    </w:p>
    <w:p w14:paraId="38011011">
      <w:pPr>
        <w:jc w:val="center"/>
        <w:rPr>
          <w:rFonts w:hint="eastAsia" w:ascii="宋体" w:hAnsi="宋体" w:eastAsia="宋体" w:cs="宋体"/>
          <w:b/>
          <w:bCs/>
          <w:color w:val="auto"/>
          <w:szCs w:val="21"/>
          <w:highlight w:val="none"/>
          <w:lang w:val="zh-CN" w:eastAsia="zh-CN"/>
        </w:rPr>
      </w:pPr>
      <w:r>
        <w:rPr>
          <w:rFonts w:hint="eastAsia" w:ascii="宋体" w:hAnsi="宋体" w:eastAsia="宋体" w:cs="宋体"/>
          <w:b/>
          <w:color w:val="auto"/>
          <w:sz w:val="30"/>
          <w:szCs w:val="30"/>
          <w:highlight w:val="none"/>
          <w:lang w:val="zh-CN"/>
        </w:rPr>
        <w:br w:type="page"/>
      </w:r>
      <w:r>
        <w:rPr>
          <w:rFonts w:hint="eastAsia" w:ascii="宋体" w:hAnsi="宋体" w:eastAsia="宋体" w:cs="宋体"/>
          <w:b/>
          <w:color w:val="auto"/>
          <w:sz w:val="30"/>
          <w:szCs w:val="30"/>
          <w:highlight w:val="none"/>
          <w:lang w:val="zh-CN"/>
        </w:rPr>
        <w:t>五、</w:t>
      </w:r>
      <w:r>
        <w:rPr>
          <w:rFonts w:hint="eastAsia" w:ascii="宋体" w:hAnsi="宋体" w:cs="宋体"/>
          <w:b/>
          <w:bCs/>
          <w:color w:val="auto"/>
          <w:sz w:val="28"/>
          <w:szCs w:val="28"/>
          <w:highlight w:val="none"/>
          <w:lang w:val="zh-CN"/>
        </w:rPr>
        <w:t>资格条件承诺</w:t>
      </w:r>
      <w:r>
        <w:rPr>
          <w:rFonts w:hint="eastAsia" w:ascii="宋体" w:hAnsi="宋体" w:cs="宋体"/>
          <w:b/>
          <w:bCs/>
          <w:color w:val="auto"/>
          <w:sz w:val="28"/>
          <w:szCs w:val="28"/>
          <w:highlight w:val="none"/>
          <w:lang w:val="en-US" w:eastAsia="zh-CN"/>
        </w:rPr>
        <w:t>函</w:t>
      </w:r>
    </w:p>
    <w:p w14:paraId="45154352">
      <w:pPr>
        <w:wordWrap w:val="0"/>
        <w:adjustRightInd w:val="0"/>
        <w:snapToGrid w:val="0"/>
        <w:spacing w:line="480" w:lineRule="auto"/>
        <w:rPr>
          <w:rFonts w:hint="eastAsia" w:ascii="宋体" w:hAnsi="宋体" w:cs="宋体"/>
          <w:color w:val="auto"/>
          <w:szCs w:val="21"/>
          <w:highlight w:val="none"/>
        </w:rPr>
      </w:pPr>
    </w:p>
    <w:p w14:paraId="59B93163">
      <w:pPr>
        <w:wordWrap w:val="0"/>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（采购人、采购代理机构）           </w:t>
      </w:r>
    </w:p>
    <w:p w14:paraId="499BC732">
      <w:pPr>
        <w:pStyle w:val="3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我单位（公司）参与</w:t>
      </w:r>
      <w:r>
        <w:rPr>
          <w:rFonts w:hint="eastAsia" w:ascii="宋体" w:hAnsi="宋体" w:eastAsia="宋体" w:cs="宋体"/>
          <w:color w:val="auto"/>
          <w:sz w:val="21"/>
          <w:szCs w:val="21"/>
          <w:highlight w:val="none"/>
          <w:u w:val="single"/>
        </w:rPr>
        <w:t xml:space="preserve">     （采购项目名称、编号）</w:t>
      </w:r>
      <w:r>
        <w:rPr>
          <w:rFonts w:hint="eastAsia" w:ascii="宋体" w:hAnsi="宋体" w:eastAsia="宋体" w:cs="宋体"/>
          <w:color w:val="auto"/>
          <w:sz w:val="21"/>
          <w:szCs w:val="21"/>
          <w:highlight w:val="none"/>
        </w:rPr>
        <w:t>采购项目的政府采购活动，现承诺如下：</w:t>
      </w:r>
    </w:p>
    <w:p w14:paraId="73A5EADE">
      <w:pPr>
        <w:pStyle w:val="3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1.具有良好的商业信誉和健全的财务会计制度；</w:t>
      </w:r>
    </w:p>
    <w:p w14:paraId="1D20BBF0">
      <w:pPr>
        <w:pStyle w:val="3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2.具有依法缴纳税收和社会保障资金的良好记录；</w:t>
      </w:r>
    </w:p>
    <w:p w14:paraId="6BC336C0">
      <w:pPr>
        <w:pStyle w:val="3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我方在采购项目评审(评标)环节结束后，随时接受采购人、采购代理机构的检查验证，配合提供相关证明材料，证明符合《中华人民共和国政府采购法》规定的投标人基本资格条件。</w:t>
      </w:r>
    </w:p>
    <w:p w14:paraId="236B1184">
      <w:pPr>
        <w:pStyle w:val="3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我单位(公司)对上述承诺的真实性负责。如有虛假，将依法承担相应责任。</w:t>
      </w:r>
    </w:p>
    <w:p w14:paraId="4FB4686C">
      <w:pPr>
        <w:pStyle w:val="3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678DBEC0">
      <w:pPr>
        <w:spacing w:line="360" w:lineRule="auto"/>
        <w:rPr>
          <w:rFonts w:hint="eastAsia" w:ascii="宋体" w:hAnsi="宋体" w:eastAsia="宋体" w:cs="宋体"/>
          <w:color w:val="auto"/>
          <w:sz w:val="21"/>
          <w:szCs w:val="21"/>
          <w:highlight w:val="none"/>
        </w:rPr>
      </w:pPr>
    </w:p>
    <w:p w14:paraId="1543D891">
      <w:p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        （盖章）                 </w:t>
      </w:r>
    </w:p>
    <w:p w14:paraId="77F5BF59">
      <w:p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法定代表人或授权代理人：          （签字或盖章）</w:t>
      </w:r>
    </w:p>
    <w:p w14:paraId="66AC6C82">
      <w:pPr>
        <w:pStyle w:val="31"/>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74171D9">
      <w:pPr>
        <w:autoSpaceDE w:val="0"/>
        <w:autoSpaceDN w:val="0"/>
        <w:adjustRightInd w:val="0"/>
        <w:snapToGrid w:val="0"/>
        <w:spacing w:line="520" w:lineRule="exact"/>
        <w:rPr>
          <w:rFonts w:hint="eastAsia" w:ascii="宋体" w:hAnsi="宋体" w:eastAsia="宋体" w:cs="宋体"/>
          <w:b/>
          <w:color w:val="auto"/>
          <w:sz w:val="21"/>
          <w:szCs w:val="21"/>
          <w:highlight w:val="none"/>
          <w:lang w:val="zh-CN"/>
        </w:rPr>
      </w:pPr>
    </w:p>
    <w:p w14:paraId="290EBF21">
      <w:pPr>
        <w:autoSpaceDE w:val="0"/>
        <w:autoSpaceDN w:val="0"/>
        <w:adjustRightInd w:val="0"/>
        <w:snapToGrid w:val="0"/>
        <w:spacing w:line="520" w:lineRule="exact"/>
        <w:rPr>
          <w:rFonts w:hint="eastAsia" w:ascii="宋体" w:hAnsi="宋体" w:eastAsia="宋体" w:cs="宋体"/>
          <w:b/>
          <w:color w:val="auto"/>
          <w:sz w:val="21"/>
          <w:szCs w:val="21"/>
          <w:highlight w:val="none"/>
          <w:lang w:val="zh-CN"/>
        </w:rPr>
      </w:pPr>
    </w:p>
    <w:p w14:paraId="3CFBEC70">
      <w:pPr>
        <w:autoSpaceDE w:val="0"/>
        <w:autoSpaceDN w:val="0"/>
        <w:adjustRightInd w:val="0"/>
        <w:snapToGrid w:val="0"/>
        <w:spacing w:line="520" w:lineRule="exact"/>
        <w:rPr>
          <w:rFonts w:hint="eastAsia" w:ascii="宋体" w:hAnsi="宋体" w:eastAsia="宋体" w:cs="宋体"/>
          <w:b/>
          <w:color w:val="auto"/>
          <w:sz w:val="24"/>
          <w:highlight w:val="none"/>
          <w:lang w:val="zh-CN"/>
        </w:rPr>
      </w:pPr>
    </w:p>
    <w:p w14:paraId="6F115595">
      <w:pPr>
        <w:spacing w:line="300" w:lineRule="auto"/>
        <w:jc w:val="center"/>
        <w:rPr>
          <w:rFonts w:hint="eastAsia" w:ascii="宋体" w:hAnsi="宋体" w:cs="宋体"/>
          <w:color w:val="auto"/>
          <w:highlight w:val="none"/>
        </w:rPr>
      </w:pPr>
      <w:r>
        <w:rPr>
          <w:rFonts w:hint="eastAsia" w:ascii="宋体" w:hAnsi="宋体" w:eastAsia="宋体" w:cs="宋体"/>
          <w:b/>
          <w:color w:val="auto"/>
          <w:sz w:val="30"/>
          <w:szCs w:val="30"/>
          <w:highlight w:val="none"/>
          <w:lang w:val="zh-CN"/>
        </w:rPr>
        <w:br w:type="page"/>
      </w:r>
      <w:r>
        <w:rPr>
          <w:rFonts w:hint="eastAsia" w:ascii="宋体" w:hAnsi="宋体" w:eastAsia="宋体" w:cs="宋体"/>
          <w:b/>
          <w:color w:val="auto"/>
          <w:sz w:val="30"/>
          <w:szCs w:val="30"/>
          <w:highlight w:val="none"/>
          <w:lang w:val="zh-CN"/>
        </w:rPr>
        <w:t>六、</w:t>
      </w:r>
      <w:bookmarkStart w:id="27" w:name="_Toc409424409"/>
      <w:bookmarkStart w:id="28" w:name="_Toc409424348"/>
      <w:bookmarkStart w:id="29" w:name="_Toc468267486"/>
      <w:r>
        <w:rPr>
          <w:rFonts w:hint="eastAsia" w:ascii="宋体" w:hAnsi="宋体" w:eastAsia="宋体" w:cs="宋体"/>
          <w:b/>
          <w:color w:val="auto"/>
          <w:sz w:val="30"/>
          <w:szCs w:val="30"/>
          <w:highlight w:val="none"/>
          <w:lang w:val="zh-CN"/>
        </w:rPr>
        <w:t>法定代表人身份证明</w:t>
      </w:r>
      <w:bookmarkEnd w:id="27"/>
      <w:bookmarkEnd w:id="28"/>
      <w:bookmarkEnd w:id="29"/>
    </w:p>
    <w:p w14:paraId="68513CE6">
      <w:pPr>
        <w:spacing w:line="300" w:lineRule="auto"/>
        <w:rPr>
          <w:rFonts w:hint="eastAsia" w:ascii="宋体" w:hAnsi="宋体" w:cs="宋体"/>
          <w:color w:val="auto"/>
          <w:sz w:val="20"/>
          <w:highlight w:val="none"/>
        </w:rPr>
      </w:pPr>
    </w:p>
    <w:p w14:paraId="42CF5791">
      <w:pPr>
        <w:spacing w:line="300" w:lineRule="auto"/>
        <w:rPr>
          <w:rFonts w:hint="eastAsia" w:ascii="宋体" w:hAnsi="宋体" w:cs="宋体"/>
          <w:color w:val="auto"/>
          <w:szCs w:val="21"/>
          <w:highlight w:val="none"/>
        </w:rPr>
      </w:pPr>
    </w:p>
    <w:p w14:paraId="551CBD7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130600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单位性质：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79F753B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5E3BC3A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703AD42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经营期限：</w:t>
      </w:r>
      <w:r>
        <w:rPr>
          <w:rFonts w:hint="eastAsia" w:ascii="宋体" w:hAnsi="宋体" w:cs="宋体"/>
          <w:color w:val="auto"/>
          <w:sz w:val="21"/>
          <w:szCs w:val="21"/>
          <w:highlight w:val="none"/>
          <w:u w:val="single"/>
        </w:rPr>
        <w:t xml:space="preserve">                               </w:t>
      </w:r>
    </w:p>
    <w:p w14:paraId="4BA20057">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性别：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职务：</w:t>
      </w:r>
      <w:r>
        <w:rPr>
          <w:rFonts w:hint="eastAsia" w:ascii="宋体" w:hAnsi="宋体" w:cs="宋体"/>
          <w:color w:val="auto"/>
          <w:sz w:val="21"/>
          <w:szCs w:val="21"/>
          <w:highlight w:val="none"/>
          <w:u w:val="single"/>
        </w:rPr>
        <w:t xml:space="preserve">        </w:t>
      </w:r>
    </w:p>
    <w:p w14:paraId="39C55F8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（投标人名称）的法定代表人。</w:t>
      </w:r>
    </w:p>
    <w:p w14:paraId="227A752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特此证明。</w:t>
      </w:r>
    </w:p>
    <w:p w14:paraId="756BB53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附：法定代表人身份证复印件</w:t>
      </w:r>
    </w:p>
    <w:p w14:paraId="37F96AF2">
      <w:pPr>
        <w:spacing w:line="360" w:lineRule="auto"/>
        <w:rPr>
          <w:rFonts w:hint="eastAsia" w:ascii="宋体" w:hAnsi="宋体" w:cs="宋体"/>
          <w:color w:val="auto"/>
          <w:sz w:val="21"/>
          <w:szCs w:val="21"/>
          <w:highlight w:val="none"/>
        </w:rPr>
      </w:pPr>
    </w:p>
    <w:p w14:paraId="147635F3">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14:paraId="44A27B32">
      <w:pPr>
        <w:spacing w:line="360" w:lineRule="auto"/>
        <w:jc w:val="left"/>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6FE5EF22">
      <w:pPr>
        <w:pStyle w:val="3"/>
        <w:spacing w:before="0" w:after="0" w:line="300" w:lineRule="auto"/>
        <w:jc w:val="center"/>
        <w:rPr>
          <w:rFonts w:ascii="宋体" w:hAnsi="宋体" w:eastAsia="宋体" w:cs="宋体"/>
          <w:color w:val="auto"/>
          <w:highlight w:val="none"/>
        </w:rPr>
      </w:pPr>
      <w:bookmarkStart w:id="30" w:name="_Toc351644316"/>
      <w:bookmarkStart w:id="31" w:name="_Toc468267487"/>
      <w:bookmarkStart w:id="32" w:name="_Toc409424410"/>
      <w:bookmarkStart w:id="33" w:name="_Toc409424349"/>
      <w:bookmarkStart w:id="34" w:name="_Toc350070698"/>
      <w:r>
        <w:rPr>
          <w:rFonts w:ascii="宋体" w:hAnsi="宋体" w:eastAsia="宋体" w:cs="宋体"/>
          <w:color w:val="auto"/>
          <w:sz w:val="21"/>
          <w:szCs w:val="21"/>
          <w:highlight w:val="none"/>
        </w:rPr>
        <w:br w:type="page"/>
      </w:r>
      <w:r>
        <w:rPr>
          <w:rFonts w:ascii="宋体" w:hAnsi="宋体" w:eastAsia="宋体" w:cs="宋体"/>
          <w:color w:val="auto"/>
          <w:highlight w:val="none"/>
        </w:rPr>
        <w:t>授权委托书</w:t>
      </w:r>
      <w:bookmarkEnd w:id="30"/>
      <w:bookmarkEnd w:id="31"/>
      <w:bookmarkEnd w:id="32"/>
      <w:bookmarkEnd w:id="33"/>
      <w:bookmarkEnd w:id="34"/>
    </w:p>
    <w:p w14:paraId="6F8AAC7C">
      <w:pPr>
        <w:spacing w:line="30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法定代表人投标可不提供</w:t>
      </w:r>
      <w:r>
        <w:rPr>
          <w:rFonts w:hint="eastAsia" w:ascii="宋体" w:hAnsi="宋体" w:cs="宋体"/>
          <w:color w:val="auto"/>
          <w:szCs w:val="21"/>
          <w:highlight w:val="none"/>
          <w:lang w:eastAsia="zh-CN"/>
        </w:rPr>
        <w:t>）</w:t>
      </w:r>
    </w:p>
    <w:p w14:paraId="4B67B7F3">
      <w:pPr>
        <w:topLinePunct/>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（投标人名称）的法定代表人，现委托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（姓名）为我方代理人。代理人根据授权，以我方名义签署、澄清、说明、补正、递交、撤回、修改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投标文件、签订合同和处理有关事宜，其法律后果由我方承担。</w:t>
      </w:r>
    </w:p>
    <w:p w14:paraId="4F40BC4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委托期限：</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481751B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代理人无转委托权。</w:t>
      </w:r>
    </w:p>
    <w:p w14:paraId="1E4DD4E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附：授权代理人身份证复印件</w:t>
      </w:r>
    </w:p>
    <w:p w14:paraId="2BE20FB0">
      <w:pPr>
        <w:spacing w:line="360" w:lineRule="auto"/>
        <w:rPr>
          <w:rFonts w:hint="eastAsia" w:ascii="宋体" w:hAnsi="宋体" w:cs="宋体"/>
          <w:color w:val="auto"/>
          <w:sz w:val="21"/>
          <w:szCs w:val="21"/>
          <w:highlight w:val="none"/>
        </w:rPr>
      </w:pPr>
    </w:p>
    <w:p w14:paraId="77971079">
      <w:pPr>
        <w:spacing w:line="300" w:lineRule="auto"/>
        <w:rPr>
          <w:rFonts w:hint="eastAsia" w:ascii="宋体" w:hAnsi="宋体" w:cs="宋体"/>
          <w:color w:val="auto"/>
          <w:sz w:val="21"/>
          <w:szCs w:val="21"/>
          <w:highlight w:val="none"/>
        </w:rPr>
      </w:pPr>
    </w:p>
    <w:p w14:paraId="3CFEC7BB">
      <w:pPr>
        <w:spacing w:line="30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14:paraId="75249044">
      <w:pPr>
        <w:spacing w:line="30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14:paraId="5EE912F9">
      <w:pPr>
        <w:spacing w:line="30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52175886">
      <w:pPr>
        <w:spacing w:line="30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授权代理人：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（签字或盖章） </w:t>
      </w:r>
    </w:p>
    <w:p w14:paraId="6981665D">
      <w:pPr>
        <w:spacing w:line="30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身份证号码：</w:t>
      </w:r>
      <w:r>
        <w:rPr>
          <w:rFonts w:hint="eastAsia" w:ascii="宋体" w:hAnsi="宋体" w:cs="宋体"/>
          <w:color w:val="auto"/>
          <w:sz w:val="21"/>
          <w:szCs w:val="21"/>
          <w:highlight w:val="none"/>
          <w:u w:val="single"/>
        </w:rPr>
        <w:t xml:space="preserve">                                      </w:t>
      </w:r>
    </w:p>
    <w:p w14:paraId="5A653915">
      <w:pPr>
        <w:spacing w:line="300" w:lineRule="auto"/>
        <w:rPr>
          <w:rFonts w:hint="eastAsia" w:ascii="宋体" w:hAnsi="宋体" w:cs="宋体"/>
          <w:color w:val="auto"/>
          <w:sz w:val="21"/>
          <w:szCs w:val="21"/>
          <w:highlight w:val="none"/>
        </w:rPr>
      </w:pPr>
    </w:p>
    <w:p w14:paraId="566406FD">
      <w:pPr>
        <w:spacing w:line="300" w:lineRule="auto"/>
        <w:ind w:firstLine="2310" w:firstLineChars="110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33F00AC2">
      <w:pPr>
        <w:autoSpaceDE w:val="0"/>
        <w:autoSpaceDN w:val="0"/>
        <w:adjustRightInd w:val="0"/>
        <w:spacing w:before="156" w:beforeLines="50" w:after="156" w:afterLines="50"/>
        <w:rPr>
          <w:rFonts w:hint="eastAsia" w:ascii="宋体" w:hAnsi="宋体" w:eastAsia="宋体" w:cs="宋体"/>
          <w:bCs/>
          <w:color w:val="auto"/>
          <w:kern w:val="0"/>
          <w:sz w:val="21"/>
          <w:szCs w:val="21"/>
          <w:highlight w:val="none"/>
        </w:rPr>
      </w:pPr>
    </w:p>
    <w:p w14:paraId="71D78D20">
      <w:pPr>
        <w:rPr>
          <w:rFonts w:hint="eastAsia" w:ascii="宋体" w:hAnsi="宋体" w:eastAsia="宋体" w:cs="宋体"/>
          <w:color w:val="auto"/>
          <w:highlight w:val="none"/>
        </w:rPr>
      </w:pPr>
    </w:p>
    <w:p w14:paraId="1A5797EF">
      <w:pPr>
        <w:rPr>
          <w:rFonts w:hint="eastAsia" w:ascii="宋体" w:hAnsi="宋体" w:eastAsia="宋体" w:cs="宋体"/>
          <w:color w:val="auto"/>
          <w:highlight w:val="none"/>
        </w:rPr>
      </w:pPr>
    </w:p>
    <w:p w14:paraId="33CD2580">
      <w:pPr>
        <w:rPr>
          <w:rFonts w:hint="eastAsia" w:ascii="宋体" w:hAnsi="宋体" w:eastAsia="宋体" w:cs="宋体"/>
          <w:color w:val="auto"/>
          <w:highlight w:val="none"/>
        </w:rPr>
      </w:pPr>
    </w:p>
    <w:p w14:paraId="565D605A">
      <w:pPr>
        <w:rPr>
          <w:rFonts w:hint="eastAsia" w:ascii="宋体" w:hAnsi="宋体" w:eastAsia="宋体" w:cs="宋体"/>
          <w:color w:val="auto"/>
          <w:highlight w:val="none"/>
        </w:rPr>
      </w:pPr>
    </w:p>
    <w:p w14:paraId="382503DA">
      <w:pPr>
        <w:rPr>
          <w:rFonts w:hint="eastAsia" w:ascii="宋体" w:hAnsi="宋体" w:eastAsia="宋体" w:cs="宋体"/>
          <w:color w:val="auto"/>
          <w:highlight w:val="none"/>
        </w:rPr>
      </w:pPr>
    </w:p>
    <w:p w14:paraId="61084867">
      <w:pPr>
        <w:rPr>
          <w:rFonts w:hint="eastAsia" w:ascii="宋体" w:hAnsi="宋体" w:eastAsia="宋体" w:cs="宋体"/>
          <w:color w:val="auto"/>
          <w:highlight w:val="none"/>
        </w:rPr>
      </w:pPr>
    </w:p>
    <w:p w14:paraId="295ADBDE">
      <w:pPr>
        <w:jc w:val="center"/>
        <w:rPr>
          <w:rFonts w:hint="eastAsia" w:ascii="宋体" w:hAnsi="宋体" w:eastAsia="宋体" w:cs="宋体"/>
          <w:b/>
          <w:color w:val="auto"/>
          <w:sz w:val="30"/>
          <w:szCs w:val="30"/>
          <w:highlight w:val="none"/>
        </w:rPr>
        <w:sectPr>
          <w:pgSz w:w="11906" w:h="16838"/>
          <w:pgMar w:top="1814" w:right="1361" w:bottom="1701" w:left="1440" w:header="850" w:footer="992" w:gutter="0"/>
          <w:pgNumType w:fmt="decimal"/>
          <w:cols w:space="720" w:num="1"/>
          <w:titlePg/>
          <w:rtlGutter w:val="0"/>
          <w:docGrid w:type="lines" w:linePitch="317" w:charSpace="0"/>
        </w:sectPr>
      </w:pPr>
      <w:bookmarkStart w:id="35" w:name="_Toc237199966"/>
      <w:bookmarkStart w:id="36" w:name="_Toc238185767"/>
      <w:bookmarkStart w:id="37" w:name="_Toc237200209"/>
      <w:bookmarkStart w:id="38" w:name="_Toc237200085"/>
      <w:bookmarkStart w:id="39" w:name="_Toc237328730"/>
      <w:bookmarkStart w:id="40" w:name="_Toc237329052"/>
      <w:bookmarkStart w:id="41" w:name="_Toc237236997"/>
    </w:p>
    <w:p w14:paraId="28111D4E">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七、商务条款偏离表</w:t>
      </w:r>
    </w:p>
    <w:p w14:paraId="46B861DB">
      <w:pPr>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41B71191">
      <w:pPr>
        <w:rPr>
          <w:rFonts w:hint="eastAsia" w:ascii="宋体" w:hAnsi="宋体" w:eastAsia="宋体" w:cs="宋体"/>
          <w:color w:val="auto"/>
          <w:highlight w:val="none"/>
        </w:rPr>
      </w:pPr>
      <w:r>
        <w:rPr>
          <w:rFonts w:hint="eastAsia" w:ascii="宋体" w:hAnsi="宋体" w:eastAsia="宋体" w:cs="宋体"/>
          <w:color w:val="auto"/>
          <w:highlight w:val="none"/>
        </w:rPr>
        <w:t>项目编号：</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30"/>
        <w:gridCol w:w="2724"/>
        <w:gridCol w:w="2760"/>
        <w:gridCol w:w="1690"/>
        <w:gridCol w:w="1707"/>
      </w:tblGrid>
      <w:tr w14:paraId="7E066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jc w:val="center"/>
        </w:trPr>
        <w:tc>
          <w:tcPr>
            <w:tcW w:w="730" w:type="dxa"/>
            <w:noWrap w:val="0"/>
            <w:tcMar>
              <w:top w:w="15" w:type="dxa"/>
              <w:left w:w="15" w:type="dxa"/>
              <w:bottom w:w="0" w:type="dxa"/>
              <w:right w:w="15" w:type="dxa"/>
            </w:tcMar>
            <w:vAlign w:val="center"/>
          </w:tcPr>
          <w:p w14:paraId="204D5522">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序号</w:t>
            </w:r>
          </w:p>
        </w:tc>
        <w:tc>
          <w:tcPr>
            <w:tcW w:w="2724" w:type="dxa"/>
            <w:noWrap w:val="0"/>
            <w:tcMar>
              <w:top w:w="15" w:type="dxa"/>
              <w:left w:w="15" w:type="dxa"/>
              <w:bottom w:w="0" w:type="dxa"/>
              <w:right w:w="15" w:type="dxa"/>
            </w:tcMar>
            <w:vAlign w:val="center"/>
          </w:tcPr>
          <w:p w14:paraId="108FBC56">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采购文件商务要求</w:t>
            </w:r>
          </w:p>
        </w:tc>
        <w:tc>
          <w:tcPr>
            <w:tcW w:w="2760" w:type="dxa"/>
            <w:noWrap w:val="0"/>
            <w:tcMar>
              <w:top w:w="15" w:type="dxa"/>
              <w:left w:w="15" w:type="dxa"/>
              <w:bottom w:w="0" w:type="dxa"/>
              <w:right w:w="15" w:type="dxa"/>
            </w:tcMar>
            <w:vAlign w:val="center"/>
          </w:tcPr>
          <w:p w14:paraId="16794795">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投标文件商务应答</w:t>
            </w:r>
          </w:p>
        </w:tc>
        <w:tc>
          <w:tcPr>
            <w:tcW w:w="1690" w:type="dxa"/>
            <w:noWrap w:val="0"/>
            <w:tcMar>
              <w:top w:w="15" w:type="dxa"/>
              <w:left w:w="15" w:type="dxa"/>
              <w:bottom w:w="0" w:type="dxa"/>
              <w:right w:w="15" w:type="dxa"/>
            </w:tcMar>
            <w:vAlign w:val="center"/>
          </w:tcPr>
          <w:p w14:paraId="4B203857">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偏离情况</w:t>
            </w:r>
          </w:p>
        </w:tc>
        <w:tc>
          <w:tcPr>
            <w:tcW w:w="1707" w:type="dxa"/>
            <w:noWrap w:val="0"/>
            <w:tcMar>
              <w:top w:w="15" w:type="dxa"/>
              <w:left w:w="15" w:type="dxa"/>
              <w:bottom w:w="0" w:type="dxa"/>
              <w:right w:w="15" w:type="dxa"/>
            </w:tcMar>
            <w:vAlign w:val="center"/>
          </w:tcPr>
          <w:p w14:paraId="5F59C3D0">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说明</w:t>
            </w:r>
          </w:p>
        </w:tc>
      </w:tr>
      <w:tr w14:paraId="603A2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730" w:type="dxa"/>
            <w:noWrap w:val="0"/>
            <w:tcMar>
              <w:top w:w="15" w:type="dxa"/>
              <w:left w:w="15" w:type="dxa"/>
              <w:bottom w:w="0" w:type="dxa"/>
              <w:right w:w="15" w:type="dxa"/>
            </w:tcMar>
            <w:vAlign w:val="center"/>
          </w:tcPr>
          <w:p w14:paraId="20C53F8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724" w:type="dxa"/>
            <w:noWrap w:val="0"/>
            <w:tcMar>
              <w:top w:w="15" w:type="dxa"/>
              <w:left w:w="15" w:type="dxa"/>
              <w:bottom w:w="0" w:type="dxa"/>
              <w:right w:w="15" w:type="dxa"/>
            </w:tcMar>
            <w:vAlign w:val="center"/>
          </w:tcPr>
          <w:p w14:paraId="4A89F1EB">
            <w:pPr>
              <w:adjustRightInd w:val="0"/>
              <w:snapToGrid w:val="0"/>
              <w:jc w:val="center"/>
              <w:rPr>
                <w:rFonts w:hint="eastAsia" w:ascii="宋体" w:hAnsi="宋体" w:eastAsia="宋体" w:cs="宋体"/>
                <w:color w:val="auto"/>
                <w:szCs w:val="21"/>
                <w:highlight w:val="none"/>
              </w:rPr>
            </w:pPr>
          </w:p>
        </w:tc>
        <w:tc>
          <w:tcPr>
            <w:tcW w:w="2760" w:type="dxa"/>
            <w:noWrap w:val="0"/>
            <w:tcMar>
              <w:top w:w="15" w:type="dxa"/>
              <w:left w:w="15" w:type="dxa"/>
              <w:bottom w:w="0" w:type="dxa"/>
              <w:right w:w="15" w:type="dxa"/>
            </w:tcMar>
            <w:vAlign w:val="center"/>
          </w:tcPr>
          <w:p w14:paraId="526B03E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690" w:type="dxa"/>
            <w:noWrap w:val="0"/>
            <w:tcMar>
              <w:top w:w="15" w:type="dxa"/>
              <w:left w:w="15" w:type="dxa"/>
              <w:bottom w:w="0" w:type="dxa"/>
              <w:right w:w="15" w:type="dxa"/>
            </w:tcMar>
            <w:vAlign w:val="center"/>
          </w:tcPr>
          <w:p w14:paraId="0AE35A70">
            <w:pPr>
              <w:adjustRightInd w:val="0"/>
              <w:snapToGrid w:val="0"/>
              <w:jc w:val="center"/>
              <w:rPr>
                <w:rFonts w:hint="eastAsia" w:ascii="宋体" w:hAnsi="宋体" w:eastAsia="宋体" w:cs="宋体"/>
                <w:color w:val="auto"/>
                <w:szCs w:val="21"/>
                <w:highlight w:val="none"/>
              </w:rPr>
            </w:pPr>
          </w:p>
        </w:tc>
        <w:tc>
          <w:tcPr>
            <w:tcW w:w="1707" w:type="dxa"/>
            <w:noWrap w:val="0"/>
            <w:tcMar>
              <w:top w:w="15" w:type="dxa"/>
              <w:left w:w="15" w:type="dxa"/>
              <w:bottom w:w="0" w:type="dxa"/>
              <w:right w:w="15" w:type="dxa"/>
            </w:tcMar>
            <w:vAlign w:val="center"/>
          </w:tcPr>
          <w:p w14:paraId="026C07C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A2E9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730" w:type="dxa"/>
            <w:noWrap w:val="0"/>
            <w:tcMar>
              <w:top w:w="15" w:type="dxa"/>
              <w:left w:w="15" w:type="dxa"/>
              <w:bottom w:w="0" w:type="dxa"/>
              <w:right w:w="15" w:type="dxa"/>
            </w:tcMar>
            <w:vAlign w:val="center"/>
          </w:tcPr>
          <w:p w14:paraId="7CED8E4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724" w:type="dxa"/>
            <w:noWrap w:val="0"/>
            <w:tcMar>
              <w:top w:w="15" w:type="dxa"/>
              <w:left w:w="15" w:type="dxa"/>
              <w:bottom w:w="0" w:type="dxa"/>
              <w:right w:w="15" w:type="dxa"/>
            </w:tcMar>
            <w:vAlign w:val="center"/>
          </w:tcPr>
          <w:p w14:paraId="17A56C53">
            <w:pPr>
              <w:adjustRightInd w:val="0"/>
              <w:snapToGrid w:val="0"/>
              <w:jc w:val="center"/>
              <w:rPr>
                <w:rFonts w:hint="eastAsia" w:ascii="宋体" w:hAnsi="宋体" w:eastAsia="宋体" w:cs="宋体"/>
                <w:color w:val="auto"/>
                <w:szCs w:val="21"/>
                <w:highlight w:val="none"/>
              </w:rPr>
            </w:pPr>
          </w:p>
        </w:tc>
        <w:tc>
          <w:tcPr>
            <w:tcW w:w="2760" w:type="dxa"/>
            <w:noWrap w:val="0"/>
            <w:tcMar>
              <w:top w:w="15" w:type="dxa"/>
              <w:left w:w="15" w:type="dxa"/>
              <w:bottom w:w="0" w:type="dxa"/>
              <w:right w:w="15" w:type="dxa"/>
            </w:tcMar>
            <w:vAlign w:val="center"/>
          </w:tcPr>
          <w:p w14:paraId="0D2C37C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690" w:type="dxa"/>
            <w:noWrap w:val="0"/>
            <w:tcMar>
              <w:top w:w="15" w:type="dxa"/>
              <w:left w:w="15" w:type="dxa"/>
              <w:bottom w:w="0" w:type="dxa"/>
              <w:right w:w="15" w:type="dxa"/>
            </w:tcMar>
            <w:vAlign w:val="center"/>
          </w:tcPr>
          <w:p w14:paraId="14F463FF">
            <w:pPr>
              <w:adjustRightInd w:val="0"/>
              <w:snapToGrid w:val="0"/>
              <w:jc w:val="center"/>
              <w:rPr>
                <w:rFonts w:hint="eastAsia" w:ascii="宋体" w:hAnsi="宋体" w:eastAsia="宋体" w:cs="宋体"/>
                <w:color w:val="auto"/>
                <w:szCs w:val="21"/>
                <w:highlight w:val="none"/>
              </w:rPr>
            </w:pPr>
          </w:p>
        </w:tc>
        <w:tc>
          <w:tcPr>
            <w:tcW w:w="1707" w:type="dxa"/>
            <w:noWrap w:val="0"/>
            <w:tcMar>
              <w:top w:w="15" w:type="dxa"/>
              <w:left w:w="15" w:type="dxa"/>
              <w:bottom w:w="0" w:type="dxa"/>
              <w:right w:w="15" w:type="dxa"/>
            </w:tcMar>
            <w:vAlign w:val="center"/>
          </w:tcPr>
          <w:p w14:paraId="6CA3981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38A2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730" w:type="dxa"/>
            <w:noWrap w:val="0"/>
            <w:tcMar>
              <w:top w:w="15" w:type="dxa"/>
              <w:left w:w="15" w:type="dxa"/>
              <w:bottom w:w="0" w:type="dxa"/>
              <w:right w:w="15" w:type="dxa"/>
            </w:tcMar>
            <w:vAlign w:val="center"/>
          </w:tcPr>
          <w:p w14:paraId="238E144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724" w:type="dxa"/>
            <w:noWrap w:val="0"/>
            <w:tcMar>
              <w:top w:w="15" w:type="dxa"/>
              <w:left w:w="15" w:type="dxa"/>
              <w:bottom w:w="0" w:type="dxa"/>
              <w:right w:w="15" w:type="dxa"/>
            </w:tcMar>
            <w:vAlign w:val="center"/>
          </w:tcPr>
          <w:p w14:paraId="75BBB817">
            <w:pPr>
              <w:adjustRightInd w:val="0"/>
              <w:snapToGrid w:val="0"/>
              <w:jc w:val="center"/>
              <w:rPr>
                <w:rFonts w:hint="eastAsia" w:ascii="宋体" w:hAnsi="宋体" w:eastAsia="宋体" w:cs="宋体"/>
                <w:color w:val="auto"/>
                <w:szCs w:val="21"/>
                <w:highlight w:val="none"/>
              </w:rPr>
            </w:pPr>
          </w:p>
        </w:tc>
        <w:tc>
          <w:tcPr>
            <w:tcW w:w="2760" w:type="dxa"/>
            <w:noWrap w:val="0"/>
            <w:tcMar>
              <w:top w:w="15" w:type="dxa"/>
              <w:left w:w="15" w:type="dxa"/>
              <w:bottom w:w="0" w:type="dxa"/>
              <w:right w:w="15" w:type="dxa"/>
            </w:tcMar>
            <w:vAlign w:val="center"/>
          </w:tcPr>
          <w:p w14:paraId="06BE12B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690" w:type="dxa"/>
            <w:noWrap w:val="0"/>
            <w:tcMar>
              <w:top w:w="15" w:type="dxa"/>
              <w:left w:w="15" w:type="dxa"/>
              <w:bottom w:w="0" w:type="dxa"/>
              <w:right w:w="15" w:type="dxa"/>
            </w:tcMar>
            <w:vAlign w:val="center"/>
          </w:tcPr>
          <w:p w14:paraId="016BE084">
            <w:pPr>
              <w:adjustRightInd w:val="0"/>
              <w:snapToGrid w:val="0"/>
              <w:jc w:val="center"/>
              <w:rPr>
                <w:rFonts w:hint="eastAsia" w:ascii="宋体" w:hAnsi="宋体" w:eastAsia="宋体" w:cs="宋体"/>
                <w:color w:val="auto"/>
                <w:szCs w:val="21"/>
                <w:highlight w:val="none"/>
              </w:rPr>
            </w:pPr>
          </w:p>
        </w:tc>
        <w:tc>
          <w:tcPr>
            <w:tcW w:w="1707" w:type="dxa"/>
            <w:noWrap w:val="0"/>
            <w:tcMar>
              <w:top w:w="15" w:type="dxa"/>
              <w:left w:w="15" w:type="dxa"/>
              <w:bottom w:w="0" w:type="dxa"/>
              <w:right w:w="15" w:type="dxa"/>
            </w:tcMar>
            <w:vAlign w:val="center"/>
          </w:tcPr>
          <w:p w14:paraId="3B5A82C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92DD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730" w:type="dxa"/>
            <w:noWrap w:val="0"/>
            <w:tcMar>
              <w:top w:w="15" w:type="dxa"/>
              <w:left w:w="15" w:type="dxa"/>
              <w:bottom w:w="0" w:type="dxa"/>
              <w:right w:w="15" w:type="dxa"/>
            </w:tcMar>
            <w:vAlign w:val="center"/>
          </w:tcPr>
          <w:p w14:paraId="7948AC9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724" w:type="dxa"/>
            <w:noWrap w:val="0"/>
            <w:tcMar>
              <w:top w:w="15" w:type="dxa"/>
              <w:left w:w="15" w:type="dxa"/>
              <w:bottom w:w="0" w:type="dxa"/>
              <w:right w:w="15" w:type="dxa"/>
            </w:tcMar>
            <w:vAlign w:val="center"/>
          </w:tcPr>
          <w:p w14:paraId="3294BD1A">
            <w:pPr>
              <w:adjustRightInd w:val="0"/>
              <w:snapToGrid w:val="0"/>
              <w:jc w:val="center"/>
              <w:rPr>
                <w:rFonts w:hint="eastAsia" w:ascii="宋体" w:hAnsi="宋体" w:eastAsia="宋体" w:cs="宋体"/>
                <w:color w:val="auto"/>
                <w:szCs w:val="21"/>
                <w:highlight w:val="none"/>
              </w:rPr>
            </w:pPr>
          </w:p>
        </w:tc>
        <w:tc>
          <w:tcPr>
            <w:tcW w:w="2760" w:type="dxa"/>
            <w:noWrap w:val="0"/>
            <w:tcMar>
              <w:top w:w="15" w:type="dxa"/>
              <w:left w:w="15" w:type="dxa"/>
              <w:bottom w:w="0" w:type="dxa"/>
              <w:right w:w="15" w:type="dxa"/>
            </w:tcMar>
            <w:vAlign w:val="center"/>
          </w:tcPr>
          <w:p w14:paraId="4C6F03A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690" w:type="dxa"/>
            <w:noWrap w:val="0"/>
            <w:tcMar>
              <w:top w:w="15" w:type="dxa"/>
              <w:left w:w="15" w:type="dxa"/>
              <w:bottom w:w="0" w:type="dxa"/>
              <w:right w:w="15" w:type="dxa"/>
            </w:tcMar>
            <w:vAlign w:val="center"/>
          </w:tcPr>
          <w:p w14:paraId="430998C9">
            <w:pPr>
              <w:adjustRightInd w:val="0"/>
              <w:snapToGrid w:val="0"/>
              <w:jc w:val="center"/>
              <w:rPr>
                <w:rFonts w:hint="eastAsia" w:ascii="宋体" w:hAnsi="宋体" w:eastAsia="宋体" w:cs="宋体"/>
                <w:color w:val="auto"/>
                <w:szCs w:val="21"/>
                <w:highlight w:val="none"/>
              </w:rPr>
            </w:pPr>
          </w:p>
        </w:tc>
        <w:tc>
          <w:tcPr>
            <w:tcW w:w="1707" w:type="dxa"/>
            <w:noWrap w:val="0"/>
            <w:tcMar>
              <w:top w:w="15" w:type="dxa"/>
              <w:left w:w="15" w:type="dxa"/>
              <w:bottom w:w="0" w:type="dxa"/>
              <w:right w:w="15" w:type="dxa"/>
            </w:tcMar>
            <w:vAlign w:val="center"/>
          </w:tcPr>
          <w:p w14:paraId="01E0189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405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730" w:type="dxa"/>
            <w:noWrap w:val="0"/>
            <w:tcMar>
              <w:top w:w="15" w:type="dxa"/>
              <w:left w:w="15" w:type="dxa"/>
              <w:bottom w:w="0" w:type="dxa"/>
              <w:right w:w="15" w:type="dxa"/>
            </w:tcMar>
            <w:vAlign w:val="center"/>
          </w:tcPr>
          <w:p w14:paraId="788A050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724" w:type="dxa"/>
            <w:noWrap w:val="0"/>
            <w:tcMar>
              <w:top w:w="15" w:type="dxa"/>
              <w:left w:w="15" w:type="dxa"/>
              <w:bottom w:w="0" w:type="dxa"/>
              <w:right w:w="15" w:type="dxa"/>
            </w:tcMar>
            <w:vAlign w:val="center"/>
          </w:tcPr>
          <w:p w14:paraId="2CEF6C1D">
            <w:pPr>
              <w:adjustRightInd w:val="0"/>
              <w:snapToGrid w:val="0"/>
              <w:jc w:val="center"/>
              <w:rPr>
                <w:rFonts w:hint="eastAsia" w:ascii="宋体" w:hAnsi="宋体" w:eastAsia="宋体" w:cs="宋体"/>
                <w:color w:val="auto"/>
                <w:szCs w:val="21"/>
                <w:highlight w:val="none"/>
              </w:rPr>
            </w:pPr>
          </w:p>
        </w:tc>
        <w:tc>
          <w:tcPr>
            <w:tcW w:w="2760" w:type="dxa"/>
            <w:noWrap w:val="0"/>
            <w:tcMar>
              <w:top w:w="15" w:type="dxa"/>
              <w:left w:w="15" w:type="dxa"/>
              <w:bottom w:w="0" w:type="dxa"/>
              <w:right w:w="15" w:type="dxa"/>
            </w:tcMar>
            <w:vAlign w:val="center"/>
          </w:tcPr>
          <w:p w14:paraId="5BA729F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690" w:type="dxa"/>
            <w:noWrap w:val="0"/>
            <w:tcMar>
              <w:top w:w="15" w:type="dxa"/>
              <w:left w:w="15" w:type="dxa"/>
              <w:bottom w:w="0" w:type="dxa"/>
              <w:right w:w="15" w:type="dxa"/>
            </w:tcMar>
            <w:vAlign w:val="center"/>
          </w:tcPr>
          <w:p w14:paraId="25D70666">
            <w:pPr>
              <w:adjustRightInd w:val="0"/>
              <w:snapToGrid w:val="0"/>
              <w:jc w:val="center"/>
              <w:rPr>
                <w:rFonts w:hint="eastAsia" w:ascii="宋体" w:hAnsi="宋体" w:eastAsia="宋体" w:cs="宋体"/>
                <w:color w:val="auto"/>
                <w:szCs w:val="21"/>
                <w:highlight w:val="none"/>
              </w:rPr>
            </w:pPr>
          </w:p>
        </w:tc>
        <w:tc>
          <w:tcPr>
            <w:tcW w:w="1707" w:type="dxa"/>
            <w:noWrap w:val="0"/>
            <w:tcMar>
              <w:top w:w="15" w:type="dxa"/>
              <w:left w:w="15" w:type="dxa"/>
              <w:bottom w:w="0" w:type="dxa"/>
              <w:right w:w="15" w:type="dxa"/>
            </w:tcMar>
            <w:vAlign w:val="center"/>
          </w:tcPr>
          <w:p w14:paraId="0667B7B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35B9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730" w:type="dxa"/>
            <w:noWrap w:val="0"/>
            <w:tcMar>
              <w:top w:w="15" w:type="dxa"/>
              <w:left w:w="15" w:type="dxa"/>
              <w:bottom w:w="0" w:type="dxa"/>
              <w:right w:w="15" w:type="dxa"/>
            </w:tcMar>
            <w:vAlign w:val="center"/>
          </w:tcPr>
          <w:p w14:paraId="791B74E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724" w:type="dxa"/>
            <w:noWrap w:val="0"/>
            <w:tcMar>
              <w:top w:w="15" w:type="dxa"/>
              <w:left w:w="15" w:type="dxa"/>
              <w:bottom w:w="0" w:type="dxa"/>
              <w:right w:w="15" w:type="dxa"/>
            </w:tcMar>
            <w:vAlign w:val="center"/>
          </w:tcPr>
          <w:p w14:paraId="1BC7249B">
            <w:pPr>
              <w:adjustRightInd w:val="0"/>
              <w:snapToGrid w:val="0"/>
              <w:jc w:val="center"/>
              <w:rPr>
                <w:rFonts w:hint="eastAsia" w:ascii="宋体" w:hAnsi="宋体" w:eastAsia="宋体" w:cs="宋体"/>
                <w:color w:val="auto"/>
                <w:szCs w:val="21"/>
                <w:highlight w:val="none"/>
              </w:rPr>
            </w:pPr>
          </w:p>
        </w:tc>
        <w:tc>
          <w:tcPr>
            <w:tcW w:w="2760" w:type="dxa"/>
            <w:noWrap w:val="0"/>
            <w:tcMar>
              <w:top w:w="15" w:type="dxa"/>
              <w:left w:w="15" w:type="dxa"/>
              <w:bottom w:w="0" w:type="dxa"/>
              <w:right w:w="15" w:type="dxa"/>
            </w:tcMar>
            <w:vAlign w:val="center"/>
          </w:tcPr>
          <w:p w14:paraId="17AC89C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690" w:type="dxa"/>
            <w:noWrap w:val="0"/>
            <w:tcMar>
              <w:top w:w="15" w:type="dxa"/>
              <w:left w:w="15" w:type="dxa"/>
              <w:bottom w:w="0" w:type="dxa"/>
              <w:right w:w="15" w:type="dxa"/>
            </w:tcMar>
            <w:vAlign w:val="center"/>
          </w:tcPr>
          <w:p w14:paraId="6A344E0A">
            <w:pPr>
              <w:adjustRightInd w:val="0"/>
              <w:snapToGrid w:val="0"/>
              <w:jc w:val="center"/>
              <w:rPr>
                <w:rFonts w:hint="eastAsia" w:ascii="宋体" w:hAnsi="宋体" w:eastAsia="宋体" w:cs="宋体"/>
                <w:color w:val="auto"/>
                <w:szCs w:val="21"/>
                <w:highlight w:val="none"/>
              </w:rPr>
            </w:pPr>
          </w:p>
        </w:tc>
        <w:tc>
          <w:tcPr>
            <w:tcW w:w="1707" w:type="dxa"/>
            <w:noWrap w:val="0"/>
            <w:tcMar>
              <w:top w:w="15" w:type="dxa"/>
              <w:left w:w="15" w:type="dxa"/>
              <w:bottom w:w="0" w:type="dxa"/>
              <w:right w:w="15" w:type="dxa"/>
            </w:tcMar>
            <w:vAlign w:val="center"/>
          </w:tcPr>
          <w:p w14:paraId="4951FD9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4C25F0D1">
      <w:pPr>
        <w:pStyle w:val="72"/>
        <w:snapToGrid w:val="0"/>
        <w:ind w:left="420"/>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注：</w:t>
      </w:r>
    </w:p>
    <w:p w14:paraId="12B975AC">
      <w:pPr>
        <w:widowControl/>
        <w:adjustRightInd w:val="0"/>
        <w:snapToGrid w:val="0"/>
        <w:spacing w:line="360" w:lineRule="auto"/>
        <w:ind w:firstLine="420" w:firstLineChars="200"/>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 “采购文件商务要求”一栏应按照采购文件第</w:t>
      </w:r>
      <w:r>
        <w:rPr>
          <w:rFonts w:hint="eastAsia" w:ascii="宋体" w:hAnsi="宋体" w:eastAsia="宋体" w:cs="宋体"/>
          <w:bCs/>
          <w:color w:val="auto"/>
          <w:szCs w:val="21"/>
          <w:highlight w:val="none"/>
          <w:lang w:val="en-US" w:eastAsia="zh-CN"/>
        </w:rPr>
        <w:t>五</w:t>
      </w:r>
      <w:r>
        <w:rPr>
          <w:rFonts w:hint="eastAsia" w:ascii="宋体" w:hAnsi="宋体" w:eastAsia="宋体" w:cs="宋体"/>
          <w:bCs/>
          <w:color w:val="auto"/>
          <w:szCs w:val="21"/>
          <w:highlight w:val="none"/>
          <w:lang w:val="zh-CN"/>
        </w:rPr>
        <w:t>章《采购需求及技术规格要求》中商务要求的内容逐项填写，否则按照投标无效处理。</w:t>
      </w:r>
    </w:p>
    <w:p w14:paraId="4F0B4692">
      <w:pPr>
        <w:widowControl/>
        <w:adjustRightInd w:val="0"/>
        <w:snapToGrid w:val="0"/>
        <w:spacing w:line="360" w:lineRule="auto"/>
        <w:ind w:firstLine="420" w:firstLineChars="200"/>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 “投标文件商务应答”一栏必须如实并按照商务要求的内容逐项填写投标商务条款的应答内容，否则按照投标无效处理。</w:t>
      </w:r>
    </w:p>
    <w:p w14:paraId="7BCF8303">
      <w:pPr>
        <w:widowControl/>
        <w:adjustRightInd w:val="0"/>
        <w:snapToGrid w:val="0"/>
        <w:spacing w:line="360" w:lineRule="auto"/>
        <w:ind w:firstLine="420" w:firstLineChars="200"/>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 “偏离情况”</w:t>
      </w:r>
      <w:r>
        <w:rPr>
          <w:rFonts w:hint="eastAsia" w:ascii="宋体" w:hAnsi="宋体" w:eastAsia="宋体" w:cs="宋体"/>
          <w:bCs/>
          <w:color w:val="auto"/>
          <w:szCs w:val="21"/>
          <w:highlight w:val="none"/>
        </w:rPr>
        <w:t>一</w:t>
      </w:r>
      <w:r>
        <w:rPr>
          <w:rFonts w:hint="eastAsia" w:ascii="宋体" w:hAnsi="宋体" w:eastAsia="宋体" w:cs="宋体"/>
          <w:bCs/>
          <w:color w:val="auto"/>
          <w:szCs w:val="21"/>
          <w:highlight w:val="none"/>
          <w:lang w:val="zh-CN"/>
        </w:rPr>
        <w:t>栏中</w:t>
      </w:r>
      <w:r>
        <w:rPr>
          <w:rFonts w:hint="eastAsia" w:ascii="宋体" w:hAnsi="宋体" w:eastAsia="宋体" w:cs="宋体"/>
          <w:bCs/>
          <w:color w:val="auto"/>
          <w:szCs w:val="21"/>
          <w:highlight w:val="none"/>
        </w:rPr>
        <w:t>必须</w:t>
      </w:r>
      <w:r>
        <w:rPr>
          <w:rFonts w:hint="eastAsia" w:ascii="宋体" w:hAnsi="宋体" w:eastAsia="宋体" w:cs="宋体"/>
          <w:bCs/>
          <w:color w:val="auto"/>
          <w:szCs w:val="21"/>
          <w:highlight w:val="none"/>
          <w:lang w:val="zh-CN"/>
        </w:rPr>
        <w:t>如实</w:t>
      </w:r>
      <w:r>
        <w:rPr>
          <w:rFonts w:hint="eastAsia" w:ascii="宋体" w:hAnsi="宋体" w:eastAsia="宋体" w:cs="宋体"/>
          <w:bCs/>
          <w:color w:val="auto"/>
          <w:szCs w:val="21"/>
          <w:highlight w:val="none"/>
        </w:rPr>
        <w:t>并按照商务要求的内容逐项</w:t>
      </w:r>
      <w:r>
        <w:rPr>
          <w:rFonts w:hint="eastAsia" w:ascii="宋体" w:hAnsi="宋体" w:eastAsia="宋体" w:cs="宋体"/>
          <w:bCs/>
          <w:color w:val="auto"/>
          <w:szCs w:val="21"/>
          <w:highlight w:val="none"/>
          <w:lang w:val="zh-CN"/>
        </w:rPr>
        <w:t>填写“正偏离”、“负偏离”或“无偏离”，采购文件第</w:t>
      </w:r>
      <w:r>
        <w:rPr>
          <w:rFonts w:hint="eastAsia" w:ascii="宋体" w:hAnsi="宋体" w:eastAsia="宋体" w:cs="宋体"/>
          <w:bCs/>
          <w:color w:val="auto"/>
          <w:szCs w:val="21"/>
          <w:highlight w:val="none"/>
          <w:lang w:val="en-US" w:eastAsia="zh-CN"/>
        </w:rPr>
        <w:t>五</w:t>
      </w:r>
      <w:r>
        <w:rPr>
          <w:rFonts w:hint="eastAsia" w:ascii="宋体" w:hAnsi="宋体" w:eastAsia="宋体" w:cs="宋体"/>
          <w:bCs/>
          <w:color w:val="auto"/>
          <w:szCs w:val="21"/>
          <w:highlight w:val="none"/>
          <w:lang w:val="zh-CN"/>
        </w:rPr>
        <w:t>章《采购需求及技术规格要求》中商务要求内容均为实质性条款，投标人的投标必须完全满足或者正偏离，否则按照投标无效处理。</w:t>
      </w:r>
    </w:p>
    <w:p w14:paraId="3009DB30">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4.“说明”一</w:t>
      </w:r>
      <w:r>
        <w:rPr>
          <w:rFonts w:hint="eastAsia" w:ascii="宋体" w:hAnsi="宋体" w:eastAsia="宋体" w:cs="宋体"/>
          <w:bCs/>
          <w:color w:val="auto"/>
          <w:szCs w:val="21"/>
          <w:highlight w:val="none"/>
          <w:lang w:val="zh-CN"/>
        </w:rPr>
        <w:t>栏中</w:t>
      </w:r>
      <w:r>
        <w:rPr>
          <w:rFonts w:hint="eastAsia" w:ascii="宋体" w:hAnsi="宋体" w:eastAsia="宋体" w:cs="宋体"/>
          <w:bCs/>
          <w:color w:val="auto"/>
          <w:szCs w:val="21"/>
          <w:highlight w:val="none"/>
        </w:rPr>
        <w:t>为除以上所述内容外，投标人认为本表格需要提供的其他内容。</w:t>
      </w:r>
    </w:p>
    <w:p w14:paraId="160D9FE1">
      <w:pPr>
        <w:pStyle w:val="72"/>
        <w:snapToGrid w:val="0"/>
        <w:ind w:left="420" w:firstLine="480" w:firstLineChars="200"/>
        <w:rPr>
          <w:rFonts w:hint="eastAsia" w:ascii="宋体" w:hAnsi="宋体" w:eastAsia="宋体" w:cs="宋体"/>
          <w:bCs/>
          <w:snapToGrid w:val="0"/>
          <w:color w:val="auto"/>
          <w:szCs w:val="24"/>
          <w:highlight w:val="none"/>
        </w:rPr>
      </w:pPr>
    </w:p>
    <w:p w14:paraId="3B459664">
      <w:pPr>
        <w:pStyle w:val="72"/>
        <w:snapToGrid w:val="0"/>
        <w:ind w:left="42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 xml:space="preserve">   </w:t>
      </w:r>
    </w:p>
    <w:p w14:paraId="0720D77C">
      <w:pPr>
        <w:autoSpaceDE w:val="0"/>
        <w:autoSpaceDN w:val="0"/>
        <w:adjustRightInd w:val="0"/>
        <w:snapToGrid w:val="0"/>
        <w:spacing w:line="520" w:lineRule="exact"/>
        <w:ind w:firstLine="48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投标单位全称（</w:t>
      </w:r>
      <w:r>
        <w:rPr>
          <w:rFonts w:hint="eastAsia" w:ascii="宋体" w:hAnsi="宋体" w:eastAsia="宋体" w:cs="宋体"/>
          <w:b/>
          <w:color w:val="auto"/>
          <w:szCs w:val="21"/>
          <w:highlight w:val="none"/>
          <w:lang w:val="zh-CN"/>
        </w:rPr>
        <w:t>加盖公章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 xml:space="preserve">                            </w:t>
      </w:r>
    </w:p>
    <w:p w14:paraId="60B01954">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法定代表人或授权代理人（盖章或签字）：</w:t>
      </w:r>
      <w:r>
        <w:rPr>
          <w:rFonts w:hint="eastAsia" w:ascii="宋体" w:hAnsi="宋体" w:eastAsia="宋体" w:cs="宋体"/>
          <w:b/>
          <w:bCs/>
          <w:color w:val="auto"/>
          <w:szCs w:val="21"/>
          <w:highlight w:val="none"/>
          <w:u w:val="single"/>
        </w:rPr>
        <w:t xml:space="preserve">                </w:t>
      </w:r>
    </w:p>
    <w:p w14:paraId="674321D4">
      <w:pPr>
        <w:autoSpaceDE w:val="0"/>
        <w:autoSpaceDN w:val="0"/>
        <w:adjustRightInd w:val="0"/>
        <w:snapToGrid w:val="0"/>
        <w:spacing w:line="520" w:lineRule="exact"/>
        <w:ind w:firstLine="48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xml:space="preserve">                                               </w:t>
      </w:r>
    </w:p>
    <w:p w14:paraId="6BA54BAB">
      <w:pPr>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lang w:val="zh-CN"/>
        </w:rPr>
        <w:br w:type="page"/>
      </w:r>
      <w:r>
        <w:rPr>
          <w:rFonts w:hint="eastAsia" w:ascii="宋体" w:hAnsi="宋体" w:eastAsia="宋体" w:cs="宋体"/>
          <w:b/>
          <w:color w:val="auto"/>
          <w:sz w:val="30"/>
          <w:szCs w:val="30"/>
          <w:highlight w:val="none"/>
        </w:rPr>
        <w:t>八、项目负责人、管理及技术人员一览表</w:t>
      </w:r>
    </w:p>
    <w:p w14:paraId="540F293F">
      <w:pPr>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48E1644B">
      <w:pPr>
        <w:rPr>
          <w:rFonts w:hint="eastAsia" w:ascii="宋体" w:hAnsi="宋体" w:eastAsia="宋体" w:cs="宋体"/>
          <w:color w:val="auto"/>
          <w:highlight w:val="none"/>
        </w:rPr>
      </w:pPr>
      <w:r>
        <w:rPr>
          <w:rFonts w:hint="eastAsia" w:ascii="宋体" w:hAnsi="宋体" w:eastAsia="宋体" w:cs="宋体"/>
          <w:color w:val="auto"/>
          <w:highlight w:val="none"/>
        </w:rPr>
        <w:t>项目编号：</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27"/>
        <w:gridCol w:w="782"/>
        <w:gridCol w:w="999"/>
        <w:gridCol w:w="823"/>
        <w:gridCol w:w="1485"/>
        <w:gridCol w:w="831"/>
        <w:gridCol w:w="1017"/>
        <w:gridCol w:w="1622"/>
      </w:tblGrid>
      <w:tr w14:paraId="11204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1" w:type="dxa"/>
            <w:noWrap w:val="0"/>
            <w:vAlign w:val="center"/>
          </w:tcPr>
          <w:p w14:paraId="47504399">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1227" w:type="dxa"/>
            <w:noWrap w:val="0"/>
            <w:vAlign w:val="center"/>
          </w:tcPr>
          <w:p w14:paraId="6A1726DF">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姓名</w:t>
            </w:r>
          </w:p>
        </w:tc>
        <w:tc>
          <w:tcPr>
            <w:tcW w:w="782" w:type="dxa"/>
            <w:noWrap w:val="0"/>
            <w:vAlign w:val="center"/>
          </w:tcPr>
          <w:p w14:paraId="7DE17799">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性别</w:t>
            </w:r>
          </w:p>
        </w:tc>
        <w:tc>
          <w:tcPr>
            <w:tcW w:w="999" w:type="dxa"/>
            <w:noWrap w:val="0"/>
            <w:vAlign w:val="center"/>
          </w:tcPr>
          <w:p w14:paraId="2FF3FA67">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年龄</w:t>
            </w:r>
          </w:p>
        </w:tc>
        <w:tc>
          <w:tcPr>
            <w:tcW w:w="823" w:type="dxa"/>
            <w:noWrap w:val="0"/>
            <w:vAlign w:val="center"/>
          </w:tcPr>
          <w:p w14:paraId="1FAD9EAE">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学历</w:t>
            </w:r>
          </w:p>
        </w:tc>
        <w:tc>
          <w:tcPr>
            <w:tcW w:w="1485" w:type="dxa"/>
            <w:noWrap w:val="0"/>
            <w:vAlign w:val="center"/>
          </w:tcPr>
          <w:p w14:paraId="3288FCDA">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职称/资格</w:t>
            </w:r>
          </w:p>
        </w:tc>
        <w:tc>
          <w:tcPr>
            <w:tcW w:w="831" w:type="dxa"/>
            <w:noWrap w:val="0"/>
            <w:vAlign w:val="center"/>
          </w:tcPr>
          <w:p w14:paraId="0BCA9E47">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专业</w:t>
            </w:r>
          </w:p>
        </w:tc>
        <w:tc>
          <w:tcPr>
            <w:tcW w:w="1017" w:type="dxa"/>
            <w:noWrap w:val="0"/>
            <w:vAlign w:val="center"/>
          </w:tcPr>
          <w:p w14:paraId="3E6A15CC">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经验</w:t>
            </w:r>
          </w:p>
          <w:p w14:paraId="1027C574">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年限</w:t>
            </w:r>
          </w:p>
        </w:tc>
        <w:tc>
          <w:tcPr>
            <w:tcW w:w="1622" w:type="dxa"/>
            <w:noWrap w:val="0"/>
            <w:vAlign w:val="center"/>
          </w:tcPr>
          <w:p w14:paraId="7F41352E">
            <w:pPr>
              <w:autoSpaceDE w:val="0"/>
              <w:autoSpaceDN w:val="0"/>
              <w:adjustRightInd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在本项目中担任职务</w:t>
            </w:r>
          </w:p>
        </w:tc>
      </w:tr>
      <w:tr w14:paraId="4F8A6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11" w:type="dxa"/>
            <w:noWrap w:val="0"/>
            <w:vAlign w:val="center"/>
          </w:tcPr>
          <w:p w14:paraId="564ACFB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7" w:type="dxa"/>
            <w:noWrap w:val="0"/>
            <w:vAlign w:val="center"/>
          </w:tcPr>
          <w:p w14:paraId="3ACEE31A">
            <w:pPr>
              <w:rPr>
                <w:rFonts w:hint="eastAsia" w:ascii="宋体" w:hAnsi="宋体" w:eastAsia="宋体" w:cs="宋体"/>
                <w:color w:val="auto"/>
                <w:sz w:val="24"/>
                <w:szCs w:val="24"/>
                <w:highlight w:val="none"/>
              </w:rPr>
            </w:pPr>
          </w:p>
        </w:tc>
        <w:tc>
          <w:tcPr>
            <w:tcW w:w="782" w:type="dxa"/>
            <w:noWrap w:val="0"/>
            <w:vAlign w:val="center"/>
          </w:tcPr>
          <w:p w14:paraId="2AC55C5B">
            <w:pPr>
              <w:rPr>
                <w:rFonts w:hint="eastAsia" w:ascii="宋体" w:hAnsi="宋体" w:eastAsia="宋体" w:cs="宋体"/>
                <w:color w:val="auto"/>
                <w:sz w:val="24"/>
                <w:szCs w:val="24"/>
                <w:highlight w:val="none"/>
              </w:rPr>
            </w:pPr>
          </w:p>
        </w:tc>
        <w:tc>
          <w:tcPr>
            <w:tcW w:w="999" w:type="dxa"/>
            <w:noWrap w:val="0"/>
            <w:vAlign w:val="center"/>
          </w:tcPr>
          <w:p w14:paraId="6DE35B9F">
            <w:pPr>
              <w:rPr>
                <w:rFonts w:hint="eastAsia" w:ascii="宋体" w:hAnsi="宋体" w:eastAsia="宋体" w:cs="宋体"/>
                <w:color w:val="auto"/>
                <w:sz w:val="24"/>
                <w:szCs w:val="24"/>
                <w:highlight w:val="none"/>
              </w:rPr>
            </w:pPr>
          </w:p>
        </w:tc>
        <w:tc>
          <w:tcPr>
            <w:tcW w:w="823" w:type="dxa"/>
            <w:noWrap w:val="0"/>
            <w:vAlign w:val="center"/>
          </w:tcPr>
          <w:p w14:paraId="0F622DF1">
            <w:pPr>
              <w:rPr>
                <w:rFonts w:hint="eastAsia" w:ascii="宋体" w:hAnsi="宋体" w:eastAsia="宋体" w:cs="宋体"/>
                <w:color w:val="auto"/>
                <w:sz w:val="24"/>
                <w:szCs w:val="24"/>
                <w:highlight w:val="none"/>
              </w:rPr>
            </w:pPr>
          </w:p>
        </w:tc>
        <w:tc>
          <w:tcPr>
            <w:tcW w:w="1485" w:type="dxa"/>
            <w:noWrap w:val="0"/>
            <w:vAlign w:val="center"/>
          </w:tcPr>
          <w:p w14:paraId="4E81BAA7">
            <w:pPr>
              <w:rPr>
                <w:rFonts w:hint="eastAsia" w:ascii="宋体" w:hAnsi="宋体" w:eastAsia="宋体" w:cs="宋体"/>
                <w:color w:val="auto"/>
                <w:sz w:val="24"/>
                <w:szCs w:val="24"/>
                <w:highlight w:val="none"/>
              </w:rPr>
            </w:pPr>
          </w:p>
        </w:tc>
        <w:tc>
          <w:tcPr>
            <w:tcW w:w="831" w:type="dxa"/>
            <w:noWrap w:val="0"/>
            <w:vAlign w:val="center"/>
          </w:tcPr>
          <w:p w14:paraId="603E1F8B">
            <w:pPr>
              <w:rPr>
                <w:rFonts w:hint="eastAsia" w:ascii="宋体" w:hAnsi="宋体" w:eastAsia="宋体" w:cs="宋体"/>
                <w:color w:val="auto"/>
                <w:sz w:val="24"/>
                <w:szCs w:val="24"/>
                <w:highlight w:val="none"/>
              </w:rPr>
            </w:pPr>
          </w:p>
        </w:tc>
        <w:tc>
          <w:tcPr>
            <w:tcW w:w="1017" w:type="dxa"/>
            <w:noWrap w:val="0"/>
            <w:vAlign w:val="center"/>
          </w:tcPr>
          <w:p w14:paraId="64E98CCE">
            <w:pPr>
              <w:rPr>
                <w:rFonts w:hint="eastAsia" w:ascii="宋体" w:hAnsi="宋体" w:eastAsia="宋体" w:cs="宋体"/>
                <w:color w:val="auto"/>
                <w:sz w:val="24"/>
                <w:szCs w:val="24"/>
                <w:highlight w:val="none"/>
              </w:rPr>
            </w:pPr>
          </w:p>
        </w:tc>
        <w:tc>
          <w:tcPr>
            <w:tcW w:w="1622" w:type="dxa"/>
            <w:noWrap w:val="0"/>
            <w:vAlign w:val="center"/>
          </w:tcPr>
          <w:p w14:paraId="433809D0">
            <w:pPr>
              <w:rPr>
                <w:rFonts w:hint="eastAsia" w:ascii="宋体" w:hAnsi="宋体" w:eastAsia="宋体" w:cs="宋体"/>
                <w:color w:val="auto"/>
                <w:sz w:val="24"/>
                <w:szCs w:val="24"/>
                <w:highlight w:val="none"/>
              </w:rPr>
            </w:pPr>
          </w:p>
        </w:tc>
      </w:tr>
      <w:tr w14:paraId="4FAC7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11" w:type="dxa"/>
            <w:noWrap w:val="0"/>
            <w:vAlign w:val="center"/>
          </w:tcPr>
          <w:p w14:paraId="5FCFBD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27" w:type="dxa"/>
            <w:noWrap w:val="0"/>
            <w:vAlign w:val="center"/>
          </w:tcPr>
          <w:p w14:paraId="6EB3D3AE">
            <w:pPr>
              <w:rPr>
                <w:rFonts w:hint="eastAsia" w:ascii="宋体" w:hAnsi="宋体" w:eastAsia="宋体" w:cs="宋体"/>
                <w:color w:val="auto"/>
                <w:sz w:val="24"/>
                <w:szCs w:val="24"/>
                <w:highlight w:val="none"/>
              </w:rPr>
            </w:pPr>
          </w:p>
        </w:tc>
        <w:tc>
          <w:tcPr>
            <w:tcW w:w="782" w:type="dxa"/>
            <w:noWrap w:val="0"/>
            <w:vAlign w:val="center"/>
          </w:tcPr>
          <w:p w14:paraId="434A04B2">
            <w:pPr>
              <w:rPr>
                <w:rFonts w:hint="eastAsia" w:ascii="宋体" w:hAnsi="宋体" w:eastAsia="宋体" w:cs="宋体"/>
                <w:color w:val="auto"/>
                <w:sz w:val="24"/>
                <w:szCs w:val="24"/>
                <w:highlight w:val="none"/>
              </w:rPr>
            </w:pPr>
          </w:p>
        </w:tc>
        <w:tc>
          <w:tcPr>
            <w:tcW w:w="999" w:type="dxa"/>
            <w:noWrap w:val="0"/>
            <w:vAlign w:val="center"/>
          </w:tcPr>
          <w:p w14:paraId="3EA68F3D">
            <w:pPr>
              <w:rPr>
                <w:rFonts w:hint="eastAsia" w:ascii="宋体" w:hAnsi="宋体" w:eastAsia="宋体" w:cs="宋体"/>
                <w:color w:val="auto"/>
                <w:sz w:val="24"/>
                <w:szCs w:val="24"/>
                <w:highlight w:val="none"/>
              </w:rPr>
            </w:pPr>
          </w:p>
        </w:tc>
        <w:tc>
          <w:tcPr>
            <w:tcW w:w="823" w:type="dxa"/>
            <w:noWrap w:val="0"/>
            <w:vAlign w:val="center"/>
          </w:tcPr>
          <w:p w14:paraId="46DF94F6">
            <w:pPr>
              <w:rPr>
                <w:rFonts w:hint="eastAsia" w:ascii="宋体" w:hAnsi="宋体" w:eastAsia="宋体" w:cs="宋体"/>
                <w:color w:val="auto"/>
                <w:sz w:val="24"/>
                <w:szCs w:val="24"/>
                <w:highlight w:val="none"/>
              </w:rPr>
            </w:pPr>
          </w:p>
        </w:tc>
        <w:tc>
          <w:tcPr>
            <w:tcW w:w="1485" w:type="dxa"/>
            <w:noWrap w:val="0"/>
            <w:vAlign w:val="center"/>
          </w:tcPr>
          <w:p w14:paraId="0D98C527">
            <w:pPr>
              <w:rPr>
                <w:rFonts w:hint="eastAsia" w:ascii="宋体" w:hAnsi="宋体" w:eastAsia="宋体" w:cs="宋体"/>
                <w:color w:val="auto"/>
                <w:sz w:val="24"/>
                <w:szCs w:val="24"/>
                <w:highlight w:val="none"/>
              </w:rPr>
            </w:pPr>
          </w:p>
        </w:tc>
        <w:tc>
          <w:tcPr>
            <w:tcW w:w="831" w:type="dxa"/>
            <w:noWrap w:val="0"/>
            <w:vAlign w:val="center"/>
          </w:tcPr>
          <w:p w14:paraId="2FE6A262">
            <w:pPr>
              <w:rPr>
                <w:rFonts w:hint="eastAsia" w:ascii="宋体" w:hAnsi="宋体" w:eastAsia="宋体" w:cs="宋体"/>
                <w:color w:val="auto"/>
                <w:sz w:val="24"/>
                <w:szCs w:val="24"/>
                <w:highlight w:val="none"/>
              </w:rPr>
            </w:pPr>
          </w:p>
        </w:tc>
        <w:tc>
          <w:tcPr>
            <w:tcW w:w="1017" w:type="dxa"/>
            <w:noWrap w:val="0"/>
            <w:vAlign w:val="center"/>
          </w:tcPr>
          <w:p w14:paraId="6F382E0E">
            <w:pPr>
              <w:rPr>
                <w:rFonts w:hint="eastAsia" w:ascii="宋体" w:hAnsi="宋体" w:eastAsia="宋体" w:cs="宋体"/>
                <w:color w:val="auto"/>
                <w:sz w:val="24"/>
                <w:szCs w:val="24"/>
                <w:highlight w:val="none"/>
              </w:rPr>
            </w:pPr>
          </w:p>
        </w:tc>
        <w:tc>
          <w:tcPr>
            <w:tcW w:w="1622" w:type="dxa"/>
            <w:noWrap w:val="0"/>
            <w:vAlign w:val="center"/>
          </w:tcPr>
          <w:p w14:paraId="0CBC64F4">
            <w:pPr>
              <w:rPr>
                <w:rFonts w:hint="eastAsia" w:ascii="宋体" w:hAnsi="宋体" w:eastAsia="宋体" w:cs="宋体"/>
                <w:color w:val="auto"/>
                <w:sz w:val="24"/>
                <w:szCs w:val="24"/>
                <w:highlight w:val="none"/>
              </w:rPr>
            </w:pPr>
          </w:p>
        </w:tc>
      </w:tr>
      <w:tr w14:paraId="4E08F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1" w:type="dxa"/>
            <w:noWrap w:val="0"/>
            <w:vAlign w:val="center"/>
          </w:tcPr>
          <w:p w14:paraId="20F6935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27" w:type="dxa"/>
            <w:noWrap w:val="0"/>
            <w:vAlign w:val="center"/>
          </w:tcPr>
          <w:p w14:paraId="05D8DBC7">
            <w:pPr>
              <w:rPr>
                <w:rFonts w:hint="eastAsia" w:ascii="宋体" w:hAnsi="宋体" w:eastAsia="宋体" w:cs="宋体"/>
                <w:color w:val="auto"/>
                <w:sz w:val="24"/>
                <w:szCs w:val="24"/>
                <w:highlight w:val="none"/>
              </w:rPr>
            </w:pPr>
          </w:p>
        </w:tc>
        <w:tc>
          <w:tcPr>
            <w:tcW w:w="782" w:type="dxa"/>
            <w:noWrap w:val="0"/>
            <w:vAlign w:val="center"/>
          </w:tcPr>
          <w:p w14:paraId="554A3E35">
            <w:pPr>
              <w:rPr>
                <w:rFonts w:hint="eastAsia" w:ascii="宋体" w:hAnsi="宋体" w:eastAsia="宋体" w:cs="宋体"/>
                <w:color w:val="auto"/>
                <w:sz w:val="24"/>
                <w:szCs w:val="24"/>
                <w:highlight w:val="none"/>
              </w:rPr>
            </w:pPr>
          </w:p>
        </w:tc>
        <w:tc>
          <w:tcPr>
            <w:tcW w:w="999" w:type="dxa"/>
            <w:noWrap w:val="0"/>
            <w:vAlign w:val="center"/>
          </w:tcPr>
          <w:p w14:paraId="1EC95138">
            <w:pPr>
              <w:rPr>
                <w:rFonts w:hint="eastAsia" w:ascii="宋体" w:hAnsi="宋体" w:eastAsia="宋体" w:cs="宋体"/>
                <w:color w:val="auto"/>
                <w:sz w:val="24"/>
                <w:szCs w:val="24"/>
                <w:highlight w:val="none"/>
              </w:rPr>
            </w:pPr>
          </w:p>
        </w:tc>
        <w:tc>
          <w:tcPr>
            <w:tcW w:w="823" w:type="dxa"/>
            <w:noWrap w:val="0"/>
            <w:vAlign w:val="center"/>
          </w:tcPr>
          <w:p w14:paraId="2FD892DE">
            <w:pPr>
              <w:rPr>
                <w:rFonts w:hint="eastAsia" w:ascii="宋体" w:hAnsi="宋体" w:eastAsia="宋体" w:cs="宋体"/>
                <w:color w:val="auto"/>
                <w:sz w:val="24"/>
                <w:szCs w:val="24"/>
                <w:highlight w:val="none"/>
              </w:rPr>
            </w:pPr>
          </w:p>
        </w:tc>
        <w:tc>
          <w:tcPr>
            <w:tcW w:w="1485" w:type="dxa"/>
            <w:noWrap w:val="0"/>
            <w:vAlign w:val="center"/>
          </w:tcPr>
          <w:p w14:paraId="73CB7C65">
            <w:pPr>
              <w:rPr>
                <w:rFonts w:hint="eastAsia" w:ascii="宋体" w:hAnsi="宋体" w:eastAsia="宋体" w:cs="宋体"/>
                <w:color w:val="auto"/>
                <w:sz w:val="24"/>
                <w:szCs w:val="24"/>
                <w:highlight w:val="none"/>
              </w:rPr>
            </w:pPr>
          </w:p>
        </w:tc>
        <w:tc>
          <w:tcPr>
            <w:tcW w:w="831" w:type="dxa"/>
            <w:noWrap w:val="0"/>
            <w:vAlign w:val="center"/>
          </w:tcPr>
          <w:p w14:paraId="5492BE1C">
            <w:pPr>
              <w:rPr>
                <w:rFonts w:hint="eastAsia" w:ascii="宋体" w:hAnsi="宋体" w:eastAsia="宋体" w:cs="宋体"/>
                <w:color w:val="auto"/>
                <w:sz w:val="24"/>
                <w:szCs w:val="24"/>
                <w:highlight w:val="none"/>
              </w:rPr>
            </w:pPr>
          </w:p>
        </w:tc>
        <w:tc>
          <w:tcPr>
            <w:tcW w:w="1017" w:type="dxa"/>
            <w:noWrap w:val="0"/>
            <w:vAlign w:val="center"/>
          </w:tcPr>
          <w:p w14:paraId="71CA8CEB">
            <w:pPr>
              <w:rPr>
                <w:rFonts w:hint="eastAsia" w:ascii="宋体" w:hAnsi="宋体" w:eastAsia="宋体" w:cs="宋体"/>
                <w:color w:val="auto"/>
                <w:sz w:val="24"/>
                <w:szCs w:val="24"/>
                <w:highlight w:val="none"/>
              </w:rPr>
            </w:pPr>
          </w:p>
        </w:tc>
        <w:tc>
          <w:tcPr>
            <w:tcW w:w="1622" w:type="dxa"/>
            <w:noWrap w:val="0"/>
            <w:vAlign w:val="center"/>
          </w:tcPr>
          <w:p w14:paraId="63A19942">
            <w:pPr>
              <w:rPr>
                <w:rFonts w:hint="eastAsia" w:ascii="宋体" w:hAnsi="宋体" w:eastAsia="宋体" w:cs="宋体"/>
                <w:color w:val="auto"/>
                <w:sz w:val="24"/>
                <w:szCs w:val="24"/>
                <w:highlight w:val="none"/>
              </w:rPr>
            </w:pPr>
          </w:p>
        </w:tc>
      </w:tr>
      <w:tr w14:paraId="31932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3856E8C9">
            <w:pPr>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27" w:type="dxa"/>
            <w:noWrap w:val="0"/>
            <w:vAlign w:val="center"/>
          </w:tcPr>
          <w:p w14:paraId="0E901A99">
            <w:pPr>
              <w:rPr>
                <w:rFonts w:hint="eastAsia" w:ascii="宋体" w:hAnsi="宋体" w:eastAsia="宋体" w:cs="宋体"/>
                <w:color w:val="auto"/>
                <w:sz w:val="24"/>
                <w:szCs w:val="24"/>
                <w:highlight w:val="none"/>
              </w:rPr>
            </w:pPr>
          </w:p>
        </w:tc>
        <w:tc>
          <w:tcPr>
            <w:tcW w:w="782" w:type="dxa"/>
            <w:noWrap w:val="0"/>
            <w:vAlign w:val="center"/>
          </w:tcPr>
          <w:p w14:paraId="2BE90EC5">
            <w:pPr>
              <w:rPr>
                <w:rFonts w:hint="eastAsia" w:ascii="宋体" w:hAnsi="宋体" w:eastAsia="宋体" w:cs="宋体"/>
                <w:color w:val="auto"/>
                <w:sz w:val="24"/>
                <w:szCs w:val="24"/>
                <w:highlight w:val="none"/>
              </w:rPr>
            </w:pPr>
          </w:p>
        </w:tc>
        <w:tc>
          <w:tcPr>
            <w:tcW w:w="999" w:type="dxa"/>
            <w:noWrap w:val="0"/>
            <w:vAlign w:val="center"/>
          </w:tcPr>
          <w:p w14:paraId="35AF1919">
            <w:pPr>
              <w:rPr>
                <w:rFonts w:hint="eastAsia" w:ascii="宋体" w:hAnsi="宋体" w:eastAsia="宋体" w:cs="宋体"/>
                <w:color w:val="auto"/>
                <w:sz w:val="24"/>
                <w:szCs w:val="24"/>
                <w:highlight w:val="none"/>
              </w:rPr>
            </w:pPr>
          </w:p>
        </w:tc>
        <w:tc>
          <w:tcPr>
            <w:tcW w:w="823" w:type="dxa"/>
            <w:noWrap w:val="0"/>
            <w:vAlign w:val="center"/>
          </w:tcPr>
          <w:p w14:paraId="204D5906">
            <w:pPr>
              <w:rPr>
                <w:rFonts w:hint="eastAsia" w:ascii="宋体" w:hAnsi="宋体" w:eastAsia="宋体" w:cs="宋体"/>
                <w:color w:val="auto"/>
                <w:sz w:val="24"/>
                <w:szCs w:val="24"/>
                <w:highlight w:val="none"/>
              </w:rPr>
            </w:pPr>
          </w:p>
        </w:tc>
        <w:tc>
          <w:tcPr>
            <w:tcW w:w="1485" w:type="dxa"/>
            <w:noWrap w:val="0"/>
            <w:vAlign w:val="center"/>
          </w:tcPr>
          <w:p w14:paraId="12E8E7CC">
            <w:pPr>
              <w:rPr>
                <w:rFonts w:hint="eastAsia" w:ascii="宋体" w:hAnsi="宋体" w:eastAsia="宋体" w:cs="宋体"/>
                <w:color w:val="auto"/>
                <w:sz w:val="24"/>
                <w:szCs w:val="24"/>
                <w:highlight w:val="none"/>
              </w:rPr>
            </w:pPr>
          </w:p>
        </w:tc>
        <w:tc>
          <w:tcPr>
            <w:tcW w:w="831" w:type="dxa"/>
            <w:noWrap w:val="0"/>
            <w:vAlign w:val="center"/>
          </w:tcPr>
          <w:p w14:paraId="58BA2496">
            <w:pPr>
              <w:rPr>
                <w:rFonts w:hint="eastAsia" w:ascii="宋体" w:hAnsi="宋体" w:eastAsia="宋体" w:cs="宋体"/>
                <w:color w:val="auto"/>
                <w:sz w:val="24"/>
                <w:szCs w:val="24"/>
                <w:highlight w:val="none"/>
              </w:rPr>
            </w:pPr>
          </w:p>
        </w:tc>
        <w:tc>
          <w:tcPr>
            <w:tcW w:w="1017" w:type="dxa"/>
            <w:noWrap w:val="0"/>
            <w:vAlign w:val="center"/>
          </w:tcPr>
          <w:p w14:paraId="3912CCAD">
            <w:pPr>
              <w:rPr>
                <w:rFonts w:hint="eastAsia" w:ascii="宋体" w:hAnsi="宋体" w:eastAsia="宋体" w:cs="宋体"/>
                <w:color w:val="auto"/>
                <w:sz w:val="24"/>
                <w:szCs w:val="24"/>
                <w:highlight w:val="none"/>
              </w:rPr>
            </w:pPr>
          </w:p>
        </w:tc>
        <w:tc>
          <w:tcPr>
            <w:tcW w:w="1622" w:type="dxa"/>
            <w:noWrap w:val="0"/>
            <w:vAlign w:val="center"/>
          </w:tcPr>
          <w:p w14:paraId="7153834E">
            <w:pPr>
              <w:rPr>
                <w:rFonts w:hint="eastAsia" w:ascii="宋体" w:hAnsi="宋体" w:eastAsia="宋体" w:cs="宋体"/>
                <w:color w:val="auto"/>
                <w:sz w:val="24"/>
                <w:szCs w:val="24"/>
                <w:highlight w:val="none"/>
              </w:rPr>
            </w:pPr>
          </w:p>
        </w:tc>
      </w:tr>
      <w:tr w14:paraId="5861A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7DBAB56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27" w:type="dxa"/>
            <w:noWrap w:val="0"/>
            <w:vAlign w:val="center"/>
          </w:tcPr>
          <w:p w14:paraId="369010CD">
            <w:pPr>
              <w:rPr>
                <w:rFonts w:hint="eastAsia" w:ascii="宋体" w:hAnsi="宋体" w:eastAsia="宋体" w:cs="宋体"/>
                <w:color w:val="auto"/>
                <w:sz w:val="24"/>
                <w:szCs w:val="24"/>
                <w:highlight w:val="none"/>
              </w:rPr>
            </w:pPr>
          </w:p>
        </w:tc>
        <w:tc>
          <w:tcPr>
            <w:tcW w:w="782" w:type="dxa"/>
            <w:noWrap w:val="0"/>
            <w:vAlign w:val="center"/>
          </w:tcPr>
          <w:p w14:paraId="27B45851">
            <w:pPr>
              <w:rPr>
                <w:rFonts w:hint="eastAsia" w:ascii="宋体" w:hAnsi="宋体" w:eastAsia="宋体" w:cs="宋体"/>
                <w:color w:val="auto"/>
                <w:sz w:val="24"/>
                <w:szCs w:val="24"/>
                <w:highlight w:val="none"/>
              </w:rPr>
            </w:pPr>
          </w:p>
        </w:tc>
        <w:tc>
          <w:tcPr>
            <w:tcW w:w="999" w:type="dxa"/>
            <w:noWrap w:val="0"/>
            <w:vAlign w:val="center"/>
          </w:tcPr>
          <w:p w14:paraId="339B326B">
            <w:pPr>
              <w:rPr>
                <w:rFonts w:hint="eastAsia" w:ascii="宋体" w:hAnsi="宋体" w:eastAsia="宋体" w:cs="宋体"/>
                <w:color w:val="auto"/>
                <w:sz w:val="24"/>
                <w:szCs w:val="24"/>
                <w:highlight w:val="none"/>
              </w:rPr>
            </w:pPr>
          </w:p>
        </w:tc>
        <w:tc>
          <w:tcPr>
            <w:tcW w:w="823" w:type="dxa"/>
            <w:noWrap w:val="0"/>
            <w:vAlign w:val="center"/>
          </w:tcPr>
          <w:p w14:paraId="30360193">
            <w:pPr>
              <w:rPr>
                <w:rFonts w:hint="eastAsia" w:ascii="宋体" w:hAnsi="宋体" w:eastAsia="宋体" w:cs="宋体"/>
                <w:color w:val="auto"/>
                <w:sz w:val="24"/>
                <w:szCs w:val="24"/>
                <w:highlight w:val="none"/>
              </w:rPr>
            </w:pPr>
          </w:p>
        </w:tc>
        <w:tc>
          <w:tcPr>
            <w:tcW w:w="1485" w:type="dxa"/>
            <w:noWrap w:val="0"/>
            <w:vAlign w:val="center"/>
          </w:tcPr>
          <w:p w14:paraId="4F7C3119">
            <w:pPr>
              <w:rPr>
                <w:rFonts w:hint="eastAsia" w:ascii="宋体" w:hAnsi="宋体" w:eastAsia="宋体" w:cs="宋体"/>
                <w:color w:val="auto"/>
                <w:sz w:val="24"/>
                <w:szCs w:val="24"/>
                <w:highlight w:val="none"/>
              </w:rPr>
            </w:pPr>
          </w:p>
        </w:tc>
        <w:tc>
          <w:tcPr>
            <w:tcW w:w="831" w:type="dxa"/>
            <w:noWrap w:val="0"/>
            <w:vAlign w:val="center"/>
          </w:tcPr>
          <w:p w14:paraId="1F95C5BD">
            <w:pPr>
              <w:rPr>
                <w:rFonts w:hint="eastAsia" w:ascii="宋体" w:hAnsi="宋体" w:eastAsia="宋体" w:cs="宋体"/>
                <w:color w:val="auto"/>
                <w:sz w:val="24"/>
                <w:szCs w:val="24"/>
                <w:highlight w:val="none"/>
              </w:rPr>
            </w:pPr>
          </w:p>
        </w:tc>
        <w:tc>
          <w:tcPr>
            <w:tcW w:w="1017" w:type="dxa"/>
            <w:noWrap w:val="0"/>
            <w:vAlign w:val="center"/>
          </w:tcPr>
          <w:p w14:paraId="5C14DCFE">
            <w:pPr>
              <w:rPr>
                <w:rFonts w:hint="eastAsia" w:ascii="宋体" w:hAnsi="宋体" w:eastAsia="宋体" w:cs="宋体"/>
                <w:color w:val="auto"/>
                <w:sz w:val="24"/>
                <w:szCs w:val="24"/>
                <w:highlight w:val="none"/>
              </w:rPr>
            </w:pPr>
          </w:p>
        </w:tc>
        <w:tc>
          <w:tcPr>
            <w:tcW w:w="1622" w:type="dxa"/>
            <w:noWrap w:val="0"/>
            <w:vAlign w:val="center"/>
          </w:tcPr>
          <w:p w14:paraId="713B5C1C">
            <w:pPr>
              <w:rPr>
                <w:rFonts w:hint="eastAsia" w:ascii="宋体" w:hAnsi="宋体" w:eastAsia="宋体" w:cs="宋体"/>
                <w:color w:val="auto"/>
                <w:sz w:val="24"/>
                <w:szCs w:val="24"/>
                <w:highlight w:val="none"/>
              </w:rPr>
            </w:pPr>
          </w:p>
        </w:tc>
      </w:tr>
      <w:tr w14:paraId="099A1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24BCD4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27" w:type="dxa"/>
            <w:noWrap w:val="0"/>
            <w:vAlign w:val="center"/>
          </w:tcPr>
          <w:p w14:paraId="46ADE475">
            <w:pPr>
              <w:rPr>
                <w:rFonts w:hint="eastAsia" w:ascii="宋体" w:hAnsi="宋体" w:eastAsia="宋体" w:cs="宋体"/>
                <w:color w:val="auto"/>
                <w:sz w:val="24"/>
                <w:szCs w:val="24"/>
                <w:highlight w:val="none"/>
              </w:rPr>
            </w:pPr>
          </w:p>
        </w:tc>
        <w:tc>
          <w:tcPr>
            <w:tcW w:w="782" w:type="dxa"/>
            <w:noWrap w:val="0"/>
            <w:vAlign w:val="center"/>
          </w:tcPr>
          <w:p w14:paraId="3E7A1E55">
            <w:pPr>
              <w:rPr>
                <w:rFonts w:hint="eastAsia" w:ascii="宋体" w:hAnsi="宋体" w:eastAsia="宋体" w:cs="宋体"/>
                <w:color w:val="auto"/>
                <w:sz w:val="24"/>
                <w:szCs w:val="24"/>
                <w:highlight w:val="none"/>
              </w:rPr>
            </w:pPr>
          </w:p>
        </w:tc>
        <w:tc>
          <w:tcPr>
            <w:tcW w:w="999" w:type="dxa"/>
            <w:noWrap w:val="0"/>
            <w:vAlign w:val="center"/>
          </w:tcPr>
          <w:p w14:paraId="0F70943A">
            <w:pPr>
              <w:rPr>
                <w:rFonts w:hint="eastAsia" w:ascii="宋体" w:hAnsi="宋体" w:eastAsia="宋体" w:cs="宋体"/>
                <w:color w:val="auto"/>
                <w:sz w:val="24"/>
                <w:szCs w:val="24"/>
                <w:highlight w:val="none"/>
              </w:rPr>
            </w:pPr>
          </w:p>
        </w:tc>
        <w:tc>
          <w:tcPr>
            <w:tcW w:w="823" w:type="dxa"/>
            <w:noWrap w:val="0"/>
            <w:vAlign w:val="center"/>
          </w:tcPr>
          <w:p w14:paraId="4B27C177">
            <w:pPr>
              <w:rPr>
                <w:rFonts w:hint="eastAsia" w:ascii="宋体" w:hAnsi="宋体" w:eastAsia="宋体" w:cs="宋体"/>
                <w:color w:val="auto"/>
                <w:sz w:val="24"/>
                <w:szCs w:val="24"/>
                <w:highlight w:val="none"/>
              </w:rPr>
            </w:pPr>
          </w:p>
        </w:tc>
        <w:tc>
          <w:tcPr>
            <w:tcW w:w="1485" w:type="dxa"/>
            <w:noWrap w:val="0"/>
            <w:vAlign w:val="center"/>
          </w:tcPr>
          <w:p w14:paraId="45126F2B">
            <w:pPr>
              <w:rPr>
                <w:rFonts w:hint="eastAsia" w:ascii="宋体" w:hAnsi="宋体" w:eastAsia="宋体" w:cs="宋体"/>
                <w:color w:val="auto"/>
                <w:sz w:val="24"/>
                <w:szCs w:val="24"/>
                <w:highlight w:val="none"/>
              </w:rPr>
            </w:pPr>
          </w:p>
        </w:tc>
        <w:tc>
          <w:tcPr>
            <w:tcW w:w="831" w:type="dxa"/>
            <w:noWrap w:val="0"/>
            <w:vAlign w:val="center"/>
          </w:tcPr>
          <w:p w14:paraId="5B20BF9C">
            <w:pPr>
              <w:rPr>
                <w:rFonts w:hint="eastAsia" w:ascii="宋体" w:hAnsi="宋体" w:eastAsia="宋体" w:cs="宋体"/>
                <w:color w:val="auto"/>
                <w:sz w:val="24"/>
                <w:szCs w:val="24"/>
                <w:highlight w:val="none"/>
              </w:rPr>
            </w:pPr>
          </w:p>
        </w:tc>
        <w:tc>
          <w:tcPr>
            <w:tcW w:w="1017" w:type="dxa"/>
            <w:noWrap w:val="0"/>
            <w:vAlign w:val="center"/>
          </w:tcPr>
          <w:p w14:paraId="17106638">
            <w:pPr>
              <w:rPr>
                <w:rFonts w:hint="eastAsia" w:ascii="宋体" w:hAnsi="宋体" w:eastAsia="宋体" w:cs="宋体"/>
                <w:color w:val="auto"/>
                <w:sz w:val="24"/>
                <w:szCs w:val="24"/>
                <w:highlight w:val="none"/>
              </w:rPr>
            </w:pPr>
          </w:p>
        </w:tc>
        <w:tc>
          <w:tcPr>
            <w:tcW w:w="1622" w:type="dxa"/>
            <w:noWrap w:val="0"/>
            <w:vAlign w:val="center"/>
          </w:tcPr>
          <w:p w14:paraId="279AECDC">
            <w:pPr>
              <w:rPr>
                <w:rFonts w:hint="eastAsia" w:ascii="宋体" w:hAnsi="宋体" w:eastAsia="宋体" w:cs="宋体"/>
                <w:color w:val="auto"/>
                <w:sz w:val="24"/>
                <w:szCs w:val="24"/>
                <w:highlight w:val="none"/>
              </w:rPr>
            </w:pPr>
          </w:p>
        </w:tc>
      </w:tr>
      <w:tr w14:paraId="17E76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152165E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27" w:type="dxa"/>
            <w:noWrap w:val="0"/>
            <w:vAlign w:val="center"/>
          </w:tcPr>
          <w:p w14:paraId="79987E08">
            <w:pPr>
              <w:rPr>
                <w:rFonts w:hint="eastAsia" w:ascii="宋体" w:hAnsi="宋体" w:eastAsia="宋体" w:cs="宋体"/>
                <w:color w:val="auto"/>
                <w:sz w:val="24"/>
                <w:szCs w:val="24"/>
                <w:highlight w:val="none"/>
              </w:rPr>
            </w:pPr>
          </w:p>
        </w:tc>
        <w:tc>
          <w:tcPr>
            <w:tcW w:w="782" w:type="dxa"/>
            <w:noWrap w:val="0"/>
            <w:vAlign w:val="center"/>
          </w:tcPr>
          <w:p w14:paraId="05008CA9">
            <w:pPr>
              <w:rPr>
                <w:rFonts w:hint="eastAsia" w:ascii="宋体" w:hAnsi="宋体" w:eastAsia="宋体" w:cs="宋体"/>
                <w:color w:val="auto"/>
                <w:sz w:val="24"/>
                <w:szCs w:val="24"/>
                <w:highlight w:val="none"/>
              </w:rPr>
            </w:pPr>
          </w:p>
        </w:tc>
        <w:tc>
          <w:tcPr>
            <w:tcW w:w="999" w:type="dxa"/>
            <w:noWrap w:val="0"/>
            <w:vAlign w:val="center"/>
          </w:tcPr>
          <w:p w14:paraId="778204DF">
            <w:pPr>
              <w:rPr>
                <w:rFonts w:hint="eastAsia" w:ascii="宋体" w:hAnsi="宋体" w:eastAsia="宋体" w:cs="宋体"/>
                <w:color w:val="auto"/>
                <w:sz w:val="24"/>
                <w:szCs w:val="24"/>
                <w:highlight w:val="none"/>
              </w:rPr>
            </w:pPr>
          </w:p>
        </w:tc>
        <w:tc>
          <w:tcPr>
            <w:tcW w:w="823" w:type="dxa"/>
            <w:noWrap w:val="0"/>
            <w:vAlign w:val="center"/>
          </w:tcPr>
          <w:p w14:paraId="7C13A99C">
            <w:pPr>
              <w:rPr>
                <w:rFonts w:hint="eastAsia" w:ascii="宋体" w:hAnsi="宋体" w:eastAsia="宋体" w:cs="宋体"/>
                <w:color w:val="auto"/>
                <w:sz w:val="24"/>
                <w:szCs w:val="24"/>
                <w:highlight w:val="none"/>
              </w:rPr>
            </w:pPr>
          </w:p>
        </w:tc>
        <w:tc>
          <w:tcPr>
            <w:tcW w:w="1485" w:type="dxa"/>
            <w:noWrap w:val="0"/>
            <w:vAlign w:val="center"/>
          </w:tcPr>
          <w:p w14:paraId="59FC118B">
            <w:pPr>
              <w:rPr>
                <w:rFonts w:hint="eastAsia" w:ascii="宋体" w:hAnsi="宋体" w:eastAsia="宋体" w:cs="宋体"/>
                <w:color w:val="auto"/>
                <w:sz w:val="24"/>
                <w:szCs w:val="24"/>
                <w:highlight w:val="none"/>
              </w:rPr>
            </w:pPr>
          </w:p>
        </w:tc>
        <w:tc>
          <w:tcPr>
            <w:tcW w:w="831" w:type="dxa"/>
            <w:noWrap w:val="0"/>
            <w:vAlign w:val="center"/>
          </w:tcPr>
          <w:p w14:paraId="7EE31B46">
            <w:pPr>
              <w:rPr>
                <w:rFonts w:hint="eastAsia" w:ascii="宋体" w:hAnsi="宋体" w:eastAsia="宋体" w:cs="宋体"/>
                <w:color w:val="auto"/>
                <w:sz w:val="24"/>
                <w:szCs w:val="24"/>
                <w:highlight w:val="none"/>
              </w:rPr>
            </w:pPr>
          </w:p>
        </w:tc>
        <w:tc>
          <w:tcPr>
            <w:tcW w:w="1017" w:type="dxa"/>
            <w:noWrap w:val="0"/>
            <w:vAlign w:val="center"/>
          </w:tcPr>
          <w:p w14:paraId="4B7C95D4">
            <w:pPr>
              <w:rPr>
                <w:rFonts w:hint="eastAsia" w:ascii="宋体" w:hAnsi="宋体" w:eastAsia="宋体" w:cs="宋体"/>
                <w:color w:val="auto"/>
                <w:sz w:val="24"/>
                <w:szCs w:val="24"/>
                <w:highlight w:val="none"/>
              </w:rPr>
            </w:pPr>
          </w:p>
        </w:tc>
        <w:tc>
          <w:tcPr>
            <w:tcW w:w="1622" w:type="dxa"/>
            <w:noWrap w:val="0"/>
            <w:vAlign w:val="center"/>
          </w:tcPr>
          <w:p w14:paraId="67FE78C8">
            <w:pPr>
              <w:rPr>
                <w:rFonts w:hint="eastAsia" w:ascii="宋体" w:hAnsi="宋体" w:eastAsia="宋体" w:cs="宋体"/>
                <w:color w:val="auto"/>
                <w:sz w:val="24"/>
                <w:szCs w:val="24"/>
                <w:highlight w:val="none"/>
              </w:rPr>
            </w:pPr>
          </w:p>
        </w:tc>
      </w:tr>
      <w:tr w14:paraId="63995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07E9F1E9">
            <w:pPr>
              <w:rPr>
                <w:rFonts w:hint="eastAsia" w:ascii="宋体" w:hAnsi="宋体" w:eastAsia="宋体" w:cs="宋体"/>
                <w:color w:val="auto"/>
                <w:sz w:val="24"/>
                <w:szCs w:val="24"/>
                <w:highlight w:val="none"/>
              </w:rPr>
            </w:pPr>
          </w:p>
        </w:tc>
        <w:tc>
          <w:tcPr>
            <w:tcW w:w="1227" w:type="dxa"/>
            <w:noWrap w:val="0"/>
            <w:vAlign w:val="center"/>
          </w:tcPr>
          <w:p w14:paraId="04EB6A73">
            <w:pPr>
              <w:rPr>
                <w:rFonts w:hint="eastAsia" w:ascii="宋体" w:hAnsi="宋体" w:eastAsia="宋体" w:cs="宋体"/>
                <w:color w:val="auto"/>
                <w:sz w:val="24"/>
                <w:szCs w:val="24"/>
                <w:highlight w:val="none"/>
              </w:rPr>
            </w:pPr>
          </w:p>
        </w:tc>
        <w:tc>
          <w:tcPr>
            <w:tcW w:w="782" w:type="dxa"/>
            <w:noWrap w:val="0"/>
            <w:vAlign w:val="center"/>
          </w:tcPr>
          <w:p w14:paraId="1C7ACDFA">
            <w:pPr>
              <w:rPr>
                <w:rFonts w:hint="eastAsia" w:ascii="宋体" w:hAnsi="宋体" w:eastAsia="宋体" w:cs="宋体"/>
                <w:color w:val="auto"/>
                <w:sz w:val="24"/>
                <w:szCs w:val="24"/>
                <w:highlight w:val="none"/>
              </w:rPr>
            </w:pPr>
          </w:p>
        </w:tc>
        <w:tc>
          <w:tcPr>
            <w:tcW w:w="999" w:type="dxa"/>
            <w:noWrap w:val="0"/>
            <w:vAlign w:val="center"/>
          </w:tcPr>
          <w:p w14:paraId="4F351659">
            <w:pPr>
              <w:rPr>
                <w:rFonts w:hint="eastAsia" w:ascii="宋体" w:hAnsi="宋体" w:eastAsia="宋体" w:cs="宋体"/>
                <w:color w:val="auto"/>
                <w:sz w:val="24"/>
                <w:szCs w:val="24"/>
                <w:highlight w:val="none"/>
              </w:rPr>
            </w:pPr>
          </w:p>
        </w:tc>
        <w:tc>
          <w:tcPr>
            <w:tcW w:w="823" w:type="dxa"/>
            <w:noWrap w:val="0"/>
            <w:vAlign w:val="center"/>
          </w:tcPr>
          <w:p w14:paraId="67ACA1C1">
            <w:pPr>
              <w:rPr>
                <w:rFonts w:hint="eastAsia" w:ascii="宋体" w:hAnsi="宋体" w:eastAsia="宋体" w:cs="宋体"/>
                <w:color w:val="auto"/>
                <w:sz w:val="24"/>
                <w:szCs w:val="24"/>
                <w:highlight w:val="none"/>
              </w:rPr>
            </w:pPr>
          </w:p>
        </w:tc>
        <w:tc>
          <w:tcPr>
            <w:tcW w:w="1485" w:type="dxa"/>
            <w:noWrap w:val="0"/>
            <w:vAlign w:val="center"/>
          </w:tcPr>
          <w:p w14:paraId="2913193B">
            <w:pPr>
              <w:rPr>
                <w:rFonts w:hint="eastAsia" w:ascii="宋体" w:hAnsi="宋体" w:eastAsia="宋体" w:cs="宋体"/>
                <w:color w:val="auto"/>
                <w:sz w:val="24"/>
                <w:szCs w:val="24"/>
                <w:highlight w:val="none"/>
              </w:rPr>
            </w:pPr>
          </w:p>
        </w:tc>
        <w:tc>
          <w:tcPr>
            <w:tcW w:w="831" w:type="dxa"/>
            <w:noWrap w:val="0"/>
            <w:vAlign w:val="center"/>
          </w:tcPr>
          <w:p w14:paraId="12C9895F">
            <w:pPr>
              <w:rPr>
                <w:rFonts w:hint="eastAsia" w:ascii="宋体" w:hAnsi="宋体" w:eastAsia="宋体" w:cs="宋体"/>
                <w:color w:val="auto"/>
                <w:sz w:val="24"/>
                <w:szCs w:val="24"/>
                <w:highlight w:val="none"/>
              </w:rPr>
            </w:pPr>
          </w:p>
        </w:tc>
        <w:tc>
          <w:tcPr>
            <w:tcW w:w="1017" w:type="dxa"/>
            <w:noWrap w:val="0"/>
            <w:vAlign w:val="center"/>
          </w:tcPr>
          <w:p w14:paraId="4A12CC98">
            <w:pPr>
              <w:rPr>
                <w:rFonts w:hint="eastAsia" w:ascii="宋体" w:hAnsi="宋体" w:eastAsia="宋体" w:cs="宋体"/>
                <w:color w:val="auto"/>
                <w:sz w:val="24"/>
                <w:szCs w:val="24"/>
                <w:highlight w:val="none"/>
              </w:rPr>
            </w:pPr>
          </w:p>
        </w:tc>
        <w:tc>
          <w:tcPr>
            <w:tcW w:w="1622" w:type="dxa"/>
            <w:noWrap w:val="0"/>
            <w:vAlign w:val="center"/>
          </w:tcPr>
          <w:p w14:paraId="150FCDF3">
            <w:pPr>
              <w:rPr>
                <w:rFonts w:hint="eastAsia" w:ascii="宋体" w:hAnsi="宋体" w:eastAsia="宋体" w:cs="宋体"/>
                <w:color w:val="auto"/>
                <w:sz w:val="24"/>
                <w:szCs w:val="24"/>
                <w:highlight w:val="none"/>
              </w:rPr>
            </w:pPr>
          </w:p>
        </w:tc>
      </w:tr>
      <w:tr w14:paraId="2E531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4FFD561A">
            <w:pPr>
              <w:rPr>
                <w:rFonts w:hint="eastAsia" w:ascii="宋体" w:hAnsi="宋体" w:eastAsia="宋体" w:cs="宋体"/>
                <w:color w:val="auto"/>
                <w:sz w:val="24"/>
                <w:szCs w:val="24"/>
                <w:highlight w:val="none"/>
              </w:rPr>
            </w:pPr>
          </w:p>
        </w:tc>
        <w:tc>
          <w:tcPr>
            <w:tcW w:w="1227" w:type="dxa"/>
            <w:noWrap w:val="0"/>
            <w:vAlign w:val="center"/>
          </w:tcPr>
          <w:p w14:paraId="05B08D55">
            <w:pPr>
              <w:rPr>
                <w:rFonts w:hint="eastAsia" w:ascii="宋体" w:hAnsi="宋体" w:eastAsia="宋体" w:cs="宋体"/>
                <w:color w:val="auto"/>
                <w:sz w:val="24"/>
                <w:szCs w:val="24"/>
                <w:highlight w:val="none"/>
              </w:rPr>
            </w:pPr>
          </w:p>
        </w:tc>
        <w:tc>
          <w:tcPr>
            <w:tcW w:w="782" w:type="dxa"/>
            <w:noWrap w:val="0"/>
            <w:vAlign w:val="center"/>
          </w:tcPr>
          <w:p w14:paraId="2DAA45C3">
            <w:pPr>
              <w:rPr>
                <w:rFonts w:hint="eastAsia" w:ascii="宋体" w:hAnsi="宋体" w:eastAsia="宋体" w:cs="宋体"/>
                <w:color w:val="auto"/>
                <w:sz w:val="24"/>
                <w:szCs w:val="24"/>
                <w:highlight w:val="none"/>
              </w:rPr>
            </w:pPr>
          </w:p>
        </w:tc>
        <w:tc>
          <w:tcPr>
            <w:tcW w:w="999" w:type="dxa"/>
            <w:noWrap w:val="0"/>
            <w:vAlign w:val="center"/>
          </w:tcPr>
          <w:p w14:paraId="2E5651F5">
            <w:pPr>
              <w:rPr>
                <w:rFonts w:hint="eastAsia" w:ascii="宋体" w:hAnsi="宋体" w:eastAsia="宋体" w:cs="宋体"/>
                <w:color w:val="auto"/>
                <w:sz w:val="24"/>
                <w:szCs w:val="24"/>
                <w:highlight w:val="none"/>
              </w:rPr>
            </w:pPr>
          </w:p>
        </w:tc>
        <w:tc>
          <w:tcPr>
            <w:tcW w:w="823" w:type="dxa"/>
            <w:noWrap w:val="0"/>
            <w:vAlign w:val="center"/>
          </w:tcPr>
          <w:p w14:paraId="6D31786C">
            <w:pPr>
              <w:rPr>
                <w:rFonts w:hint="eastAsia" w:ascii="宋体" w:hAnsi="宋体" w:eastAsia="宋体" w:cs="宋体"/>
                <w:color w:val="auto"/>
                <w:sz w:val="24"/>
                <w:szCs w:val="24"/>
                <w:highlight w:val="none"/>
              </w:rPr>
            </w:pPr>
          </w:p>
        </w:tc>
        <w:tc>
          <w:tcPr>
            <w:tcW w:w="1485" w:type="dxa"/>
            <w:noWrap w:val="0"/>
            <w:vAlign w:val="center"/>
          </w:tcPr>
          <w:p w14:paraId="48137EFB">
            <w:pPr>
              <w:rPr>
                <w:rFonts w:hint="eastAsia" w:ascii="宋体" w:hAnsi="宋体" w:eastAsia="宋体" w:cs="宋体"/>
                <w:color w:val="auto"/>
                <w:sz w:val="24"/>
                <w:szCs w:val="24"/>
                <w:highlight w:val="none"/>
              </w:rPr>
            </w:pPr>
          </w:p>
        </w:tc>
        <w:tc>
          <w:tcPr>
            <w:tcW w:w="831" w:type="dxa"/>
            <w:noWrap w:val="0"/>
            <w:vAlign w:val="center"/>
          </w:tcPr>
          <w:p w14:paraId="7DD0B1EF">
            <w:pPr>
              <w:rPr>
                <w:rFonts w:hint="eastAsia" w:ascii="宋体" w:hAnsi="宋体" w:eastAsia="宋体" w:cs="宋体"/>
                <w:color w:val="auto"/>
                <w:sz w:val="24"/>
                <w:szCs w:val="24"/>
                <w:highlight w:val="none"/>
              </w:rPr>
            </w:pPr>
          </w:p>
        </w:tc>
        <w:tc>
          <w:tcPr>
            <w:tcW w:w="1017" w:type="dxa"/>
            <w:noWrap w:val="0"/>
            <w:vAlign w:val="center"/>
          </w:tcPr>
          <w:p w14:paraId="7A055841">
            <w:pPr>
              <w:rPr>
                <w:rFonts w:hint="eastAsia" w:ascii="宋体" w:hAnsi="宋体" w:eastAsia="宋体" w:cs="宋体"/>
                <w:color w:val="auto"/>
                <w:sz w:val="24"/>
                <w:szCs w:val="24"/>
                <w:highlight w:val="none"/>
              </w:rPr>
            </w:pPr>
          </w:p>
        </w:tc>
        <w:tc>
          <w:tcPr>
            <w:tcW w:w="1622" w:type="dxa"/>
            <w:noWrap w:val="0"/>
            <w:vAlign w:val="center"/>
          </w:tcPr>
          <w:p w14:paraId="39D3ADEF">
            <w:pPr>
              <w:rPr>
                <w:rFonts w:hint="eastAsia" w:ascii="宋体" w:hAnsi="宋体" w:eastAsia="宋体" w:cs="宋体"/>
                <w:color w:val="auto"/>
                <w:sz w:val="24"/>
                <w:szCs w:val="24"/>
                <w:highlight w:val="none"/>
              </w:rPr>
            </w:pPr>
          </w:p>
        </w:tc>
      </w:tr>
      <w:tr w14:paraId="31C7D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3A21D2EE">
            <w:pPr>
              <w:rPr>
                <w:rFonts w:hint="eastAsia" w:ascii="宋体" w:hAnsi="宋体" w:eastAsia="宋体" w:cs="宋体"/>
                <w:color w:val="auto"/>
                <w:sz w:val="24"/>
                <w:szCs w:val="24"/>
                <w:highlight w:val="none"/>
              </w:rPr>
            </w:pPr>
          </w:p>
        </w:tc>
        <w:tc>
          <w:tcPr>
            <w:tcW w:w="1227" w:type="dxa"/>
            <w:noWrap w:val="0"/>
            <w:vAlign w:val="center"/>
          </w:tcPr>
          <w:p w14:paraId="57FA0EE1">
            <w:pPr>
              <w:rPr>
                <w:rFonts w:hint="eastAsia" w:ascii="宋体" w:hAnsi="宋体" w:eastAsia="宋体" w:cs="宋体"/>
                <w:color w:val="auto"/>
                <w:sz w:val="24"/>
                <w:szCs w:val="24"/>
                <w:highlight w:val="none"/>
              </w:rPr>
            </w:pPr>
          </w:p>
        </w:tc>
        <w:tc>
          <w:tcPr>
            <w:tcW w:w="782" w:type="dxa"/>
            <w:noWrap w:val="0"/>
            <w:vAlign w:val="center"/>
          </w:tcPr>
          <w:p w14:paraId="495AFD70">
            <w:pPr>
              <w:rPr>
                <w:rFonts w:hint="eastAsia" w:ascii="宋体" w:hAnsi="宋体" w:eastAsia="宋体" w:cs="宋体"/>
                <w:color w:val="auto"/>
                <w:sz w:val="24"/>
                <w:szCs w:val="24"/>
                <w:highlight w:val="none"/>
              </w:rPr>
            </w:pPr>
          </w:p>
        </w:tc>
        <w:tc>
          <w:tcPr>
            <w:tcW w:w="999" w:type="dxa"/>
            <w:noWrap w:val="0"/>
            <w:vAlign w:val="center"/>
          </w:tcPr>
          <w:p w14:paraId="1410A349">
            <w:pPr>
              <w:rPr>
                <w:rFonts w:hint="eastAsia" w:ascii="宋体" w:hAnsi="宋体" w:eastAsia="宋体" w:cs="宋体"/>
                <w:color w:val="auto"/>
                <w:sz w:val="24"/>
                <w:szCs w:val="24"/>
                <w:highlight w:val="none"/>
              </w:rPr>
            </w:pPr>
          </w:p>
        </w:tc>
        <w:tc>
          <w:tcPr>
            <w:tcW w:w="823" w:type="dxa"/>
            <w:noWrap w:val="0"/>
            <w:vAlign w:val="center"/>
          </w:tcPr>
          <w:p w14:paraId="020B3852">
            <w:pPr>
              <w:rPr>
                <w:rFonts w:hint="eastAsia" w:ascii="宋体" w:hAnsi="宋体" w:eastAsia="宋体" w:cs="宋体"/>
                <w:color w:val="auto"/>
                <w:sz w:val="24"/>
                <w:szCs w:val="24"/>
                <w:highlight w:val="none"/>
              </w:rPr>
            </w:pPr>
          </w:p>
        </w:tc>
        <w:tc>
          <w:tcPr>
            <w:tcW w:w="1485" w:type="dxa"/>
            <w:noWrap w:val="0"/>
            <w:vAlign w:val="center"/>
          </w:tcPr>
          <w:p w14:paraId="5473E95D">
            <w:pPr>
              <w:rPr>
                <w:rFonts w:hint="eastAsia" w:ascii="宋体" w:hAnsi="宋体" w:eastAsia="宋体" w:cs="宋体"/>
                <w:color w:val="auto"/>
                <w:sz w:val="24"/>
                <w:szCs w:val="24"/>
                <w:highlight w:val="none"/>
              </w:rPr>
            </w:pPr>
          </w:p>
        </w:tc>
        <w:tc>
          <w:tcPr>
            <w:tcW w:w="831" w:type="dxa"/>
            <w:noWrap w:val="0"/>
            <w:vAlign w:val="center"/>
          </w:tcPr>
          <w:p w14:paraId="237437A1">
            <w:pPr>
              <w:rPr>
                <w:rFonts w:hint="eastAsia" w:ascii="宋体" w:hAnsi="宋体" w:eastAsia="宋体" w:cs="宋体"/>
                <w:color w:val="auto"/>
                <w:sz w:val="24"/>
                <w:szCs w:val="24"/>
                <w:highlight w:val="none"/>
              </w:rPr>
            </w:pPr>
          </w:p>
        </w:tc>
        <w:tc>
          <w:tcPr>
            <w:tcW w:w="1017" w:type="dxa"/>
            <w:noWrap w:val="0"/>
            <w:vAlign w:val="center"/>
          </w:tcPr>
          <w:p w14:paraId="32B1E1F1">
            <w:pPr>
              <w:rPr>
                <w:rFonts w:hint="eastAsia" w:ascii="宋体" w:hAnsi="宋体" w:eastAsia="宋体" w:cs="宋体"/>
                <w:color w:val="auto"/>
                <w:sz w:val="24"/>
                <w:szCs w:val="24"/>
                <w:highlight w:val="none"/>
              </w:rPr>
            </w:pPr>
          </w:p>
        </w:tc>
        <w:tc>
          <w:tcPr>
            <w:tcW w:w="1622" w:type="dxa"/>
            <w:noWrap w:val="0"/>
            <w:vAlign w:val="center"/>
          </w:tcPr>
          <w:p w14:paraId="3CD59957">
            <w:pPr>
              <w:rPr>
                <w:rFonts w:hint="eastAsia" w:ascii="宋体" w:hAnsi="宋体" w:eastAsia="宋体" w:cs="宋体"/>
                <w:color w:val="auto"/>
                <w:sz w:val="24"/>
                <w:szCs w:val="24"/>
                <w:highlight w:val="none"/>
              </w:rPr>
            </w:pPr>
          </w:p>
        </w:tc>
      </w:tr>
      <w:tr w14:paraId="4E299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206C8CAD">
            <w:pPr>
              <w:rPr>
                <w:rFonts w:hint="eastAsia" w:ascii="宋体" w:hAnsi="宋体" w:eastAsia="宋体" w:cs="宋体"/>
                <w:color w:val="auto"/>
                <w:sz w:val="24"/>
                <w:szCs w:val="24"/>
                <w:highlight w:val="none"/>
              </w:rPr>
            </w:pPr>
          </w:p>
        </w:tc>
        <w:tc>
          <w:tcPr>
            <w:tcW w:w="1227" w:type="dxa"/>
            <w:noWrap w:val="0"/>
            <w:vAlign w:val="center"/>
          </w:tcPr>
          <w:p w14:paraId="6E46895E">
            <w:pPr>
              <w:rPr>
                <w:rFonts w:hint="eastAsia" w:ascii="宋体" w:hAnsi="宋体" w:eastAsia="宋体" w:cs="宋体"/>
                <w:color w:val="auto"/>
                <w:sz w:val="24"/>
                <w:szCs w:val="24"/>
                <w:highlight w:val="none"/>
              </w:rPr>
            </w:pPr>
          </w:p>
        </w:tc>
        <w:tc>
          <w:tcPr>
            <w:tcW w:w="782" w:type="dxa"/>
            <w:noWrap w:val="0"/>
            <w:vAlign w:val="center"/>
          </w:tcPr>
          <w:p w14:paraId="28CA00D9">
            <w:pPr>
              <w:rPr>
                <w:rFonts w:hint="eastAsia" w:ascii="宋体" w:hAnsi="宋体" w:eastAsia="宋体" w:cs="宋体"/>
                <w:color w:val="auto"/>
                <w:sz w:val="24"/>
                <w:szCs w:val="24"/>
                <w:highlight w:val="none"/>
              </w:rPr>
            </w:pPr>
          </w:p>
        </w:tc>
        <w:tc>
          <w:tcPr>
            <w:tcW w:w="999" w:type="dxa"/>
            <w:noWrap w:val="0"/>
            <w:vAlign w:val="center"/>
          </w:tcPr>
          <w:p w14:paraId="116BA8E5">
            <w:pPr>
              <w:rPr>
                <w:rFonts w:hint="eastAsia" w:ascii="宋体" w:hAnsi="宋体" w:eastAsia="宋体" w:cs="宋体"/>
                <w:color w:val="auto"/>
                <w:sz w:val="24"/>
                <w:szCs w:val="24"/>
                <w:highlight w:val="none"/>
              </w:rPr>
            </w:pPr>
          </w:p>
        </w:tc>
        <w:tc>
          <w:tcPr>
            <w:tcW w:w="823" w:type="dxa"/>
            <w:noWrap w:val="0"/>
            <w:vAlign w:val="center"/>
          </w:tcPr>
          <w:p w14:paraId="7D486300">
            <w:pPr>
              <w:rPr>
                <w:rFonts w:hint="eastAsia" w:ascii="宋体" w:hAnsi="宋体" w:eastAsia="宋体" w:cs="宋体"/>
                <w:color w:val="auto"/>
                <w:sz w:val="24"/>
                <w:szCs w:val="24"/>
                <w:highlight w:val="none"/>
              </w:rPr>
            </w:pPr>
          </w:p>
        </w:tc>
        <w:tc>
          <w:tcPr>
            <w:tcW w:w="1485" w:type="dxa"/>
            <w:noWrap w:val="0"/>
            <w:vAlign w:val="center"/>
          </w:tcPr>
          <w:p w14:paraId="09F7FBD8">
            <w:pPr>
              <w:rPr>
                <w:rFonts w:hint="eastAsia" w:ascii="宋体" w:hAnsi="宋体" w:eastAsia="宋体" w:cs="宋体"/>
                <w:color w:val="auto"/>
                <w:sz w:val="24"/>
                <w:szCs w:val="24"/>
                <w:highlight w:val="none"/>
              </w:rPr>
            </w:pPr>
          </w:p>
        </w:tc>
        <w:tc>
          <w:tcPr>
            <w:tcW w:w="831" w:type="dxa"/>
            <w:noWrap w:val="0"/>
            <w:vAlign w:val="center"/>
          </w:tcPr>
          <w:p w14:paraId="7C659273">
            <w:pPr>
              <w:rPr>
                <w:rFonts w:hint="eastAsia" w:ascii="宋体" w:hAnsi="宋体" w:eastAsia="宋体" w:cs="宋体"/>
                <w:color w:val="auto"/>
                <w:sz w:val="24"/>
                <w:szCs w:val="24"/>
                <w:highlight w:val="none"/>
              </w:rPr>
            </w:pPr>
          </w:p>
        </w:tc>
        <w:tc>
          <w:tcPr>
            <w:tcW w:w="1017" w:type="dxa"/>
            <w:noWrap w:val="0"/>
            <w:vAlign w:val="center"/>
          </w:tcPr>
          <w:p w14:paraId="57C33A5C">
            <w:pPr>
              <w:rPr>
                <w:rFonts w:hint="eastAsia" w:ascii="宋体" w:hAnsi="宋体" w:eastAsia="宋体" w:cs="宋体"/>
                <w:color w:val="auto"/>
                <w:sz w:val="24"/>
                <w:szCs w:val="24"/>
                <w:highlight w:val="none"/>
              </w:rPr>
            </w:pPr>
          </w:p>
        </w:tc>
        <w:tc>
          <w:tcPr>
            <w:tcW w:w="1622" w:type="dxa"/>
            <w:noWrap w:val="0"/>
            <w:vAlign w:val="center"/>
          </w:tcPr>
          <w:p w14:paraId="08B4C6A2">
            <w:pPr>
              <w:rPr>
                <w:rFonts w:hint="eastAsia" w:ascii="宋体" w:hAnsi="宋体" w:eastAsia="宋体" w:cs="宋体"/>
                <w:color w:val="auto"/>
                <w:sz w:val="24"/>
                <w:szCs w:val="24"/>
                <w:highlight w:val="none"/>
              </w:rPr>
            </w:pPr>
          </w:p>
        </w:tc>
      </w:tr>
    </w:tbl>
    <w:p w14:paraId="6CFE972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8D8A51E">
      <w:pPr>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1.上表列出的人员，如有职称、资格等证书，应附证书的复印件。</w:t>
      </w:r>
    </w:p>
    <w:p w14:paraId="1D6219FF">
      <w:pPr>
        <w:jc w:val="center"/>
        <w:rPr>
          <w:rFonts w:hint="eastAsia" w:ascii="宋体" w:hAnsi="宋体" w:eastAsia="宋体" w:cs="宋体"/>
          <w:color w:val="auto"/>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中要求提供上述人员在本单位服务的证明或其他材料的，应按要求在本表后提供。</w:t>
      </w:r>
    </w:p>
    <w:p w14:paraId="242532FF">
      <w:pPr>
        <w:jc w:val="center"/>
        <w:rPr>
          <w:rFonts w:hint="eastAsia" w:ascii="宋体" w:hAnsi="宋体" w:eastAsia="宋体" w:cs="宋体"/>
          <w:color w:val="auto"/>
          <w:highlight w:val="none"/>
          <w:lang w:val="zh-CN"/>
        </w:rPr>
      </w:pPr>
    </w:p>
    <w:p w14:paraId="3867A95B">
      <w:pPr>
        <w:jc w:val="center"/>
        <w:rPr>
          <w:rFonts w:hint="eastAsia" w:ascii="宋体" w:hAnsi="宋体" w:eastAsia="宋体" w:cs="宋体"/>
          <w:color w:val="auto"/>
          <w:highlight w:val="none"/>
          <w:lang w:val="zh-CN"/>
        </w:rPr>
      </w:pPr>
    </w:p>
    <w:p w14:paraId="2F12C768">
      <w:pPr>
        <w:autoSpaceDE w:val="0"/>
        <w:autoSpaceDN w:val="0"/>
        <w:adjustRightInd w:val="0"/>
        <w:snapToGrid w:val="0"/>
        <w:spacing w:line="520" w:lineRule="exact"/>
        <w:ind w:firstLine="48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投标单位全称（</w:t>
      </w:r>
      <w:r>
        <w:rPr>
          <w:rFonts w:hint="eastAsia" w:ascii="宋体" w:hAnsi="宋体" w:eastAsia="宋体" w:cs="宋体"/>
          <w:b/>
          <w:color w:val="auto"/>
          <w:szCs w:val="21"/>
          <w:highlight w:val="none"/>
          <w:lang w:val="zh-CN"/>
        </w:rPr>
        <w:t>加盖公章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 xml:space="preserve">                            </w:t>
      </w:r>
    </w:p>
    <w:p w14:paraId="5664D2EA">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法定代表人或授权代理人（盖章或签字）：</w:t>
      </w:r>
      <w:r>
        <w:rPr>
          <w:rFonts w:hint="eastAsia" w:ascii="宋体" w:hAnsi="宋体" w:eastAsia="宋体" w:cs="宋体"/>
          <w:b/>
          <w:bCs/>
          <w:color w:val="auto"/>
          <w:szCs w:val="21"/>
          <w:highlight w:val="none"/>
          <w:u w:val="single"/>
        </w:rPr>
        <w:t xml:space="preserve">                </w:t>
      </w:r>
    </w:p>
    <w:p w14:paraId="1691040F">
      <w:pPr>
        <w:autoSpaceDE w:val="0"/>
        <w:autoSpaceDN w:val="0"/>
        <w:adjustRightInd w:val="0"/>
        <w:snapToGrid w:val="0"/>
        <w:spacing w:line="520" w:lineRule="exact"/>
        <w:ind w:firstLine="48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xml:space="preserve">                                               </w:t>
      </w:r>
    </w:p>
    <w:p w14:paraId="108F7DBD">
      <w:pPr>
        <w:autoSpaceDE w:val="0"/>
        <w:autoSpaceDN w:val="0"/>
        <w:adjustRightInd w:val="0"/>
        <w:snapToGrid w:val="0"/>
        <w:spacing w:line="520" w:lineRule="exact"/>
        <w:jc w:val="center"/>
        <w:rPr>
          <w:rFonts w:ascii="宋体" w:hAnsi="宋体" w:eastAsia="宋体"/>
          <w:b/>
          <w:bCs/>
          <w:color w:val="000000"/>
          <w:sz w:val="32"/>
          <w:szCs w:val="32"/>
          <w:highlight w:val="none"/>
        </w:rPr>
      </w:pPr>
      <w:r>
        <w:rPr>
          <w:rFonts w:hint="eastAsia" w:ascii="宋体" w:hAnsi="宋体" w:eastAsia="宋体" w:cs="宋体"/>
          <w:b/>
          <w:bCs/>
          <w:color w:val="auto"/>
          <w:szCs w:val="21"/>
          <w:highlight w:val="none"/>
        </w:rPr>
        <w:br w:type="page"/>
      </w:r>
      <w:r>
        <w:rPr>
          <w:rFonts w:hint="eastAsia" w:ascii="宋体" w:hAnsi="宋体" w:eastAsia="宋体" w:cs="宋体"/>
          <w:b/>
          <w:color w:val="auto"/>
          <w:sz w:val="30"/>
          <w:szCs w:val="30"/>
          <w:highlight w:val="none"/>
        </w:rPr>
        <w:t>九、</w:t>
      </w:r>
      <w:bookmarkEnd w:id="35"/>
      <w:bookmarkEnd w:id="36"/>
      <w:bookmarkEnd w:id="37"/>
      <w:bookmarkEnd w:id="38"/>
      <w:bookmarkEnd w:id="39"/>
      <w:bookmarkEnd w:id="40"/>
      <w:bookmarkEnd w:id="41"/>
      <w:r>
        <w:rPr>
          <w:rFonts w:hint="eastAsia" w:ascii="宋体" w:hAnsi="宋体" w:eastAsia="宋体" w:cs="宋体"/>
          <w:b/>
          <w:color w:val="auto"/>
          <w:sz w:val="30"/>
          <w:szCs w:val="30"/>
          <w:highlight w:val="none"/>
          <w:lang w:val="zh-CN"/>
        </w:rPr>
        <w:t>资格审查资料及和评审相关的其他商务资料</w:t>
      </w:r>
      <w:r>
        <w:rPr>
          <w:rFonts w:ascii="宋体" w:hAnsi="宋体" w:eastAsia="宋体"/>
          <w:b/>
          <w:bCs/>
          <w:color w:val="000000"/>
          <w:sz w:val="22"/>
          <w:highlight w:val="none"/>
        </w:rPr>
        <w:br w:type="page"/>
      </w:r>
      <w:r>
        <w:rPr>
          <w:rFonts w:ascii="宋体" w:hAnsi="宋体" w:eastAsia="宋体"/>
          <w:b/>
          <w:bCs/>
          <w:color w:val="000000"/>
          <w:sz w:val="32"/>
          <w:szCs w:val="32"/>
          <w:highlight w:val="none"/>
        </w:rPr>
        <w:t>中小企业声明函(货物)</w:t>
      </w:r>
    </w:p>
    <w:p w14:paraId="71209CC2">
      <w:pPr>
        <w:pStyle w:val="104"/>
        <w:snapToGrid/>
        <w:spacing w:line="360" w:lineRule="auto"/>
        <w:ind w:firstLine="480" w:firstLineChars="200"/>
        <w:rPr>
          <w:rFonts w:ascii="宋体" w:hAnsi="宋体" w:eastAsia="宋体"/>
          <w:color w:val="000000"/>
          <w:sz w:val="24"/>
          <w:szCs w:val="24"/>
          <w:highlight w:val="none"/>
        </w:rPr>
      </w:pPr>
    </w:p>
    <w:p w14:paraId="6E9DAFD2">
      <w:pPr>
        <w:pStyle w:val="104"/>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本公司(联合体)郑重声明，根据《政府采购促进中小企业发展管理办法》(财库(2020)46号)的规定，本公司(联合体)参加</w:t>
      </w:r>
      <w:r>
        <w:rPr>
          <w:rFonts w:ascii="宋体" w:hAnsi="宋体" w:eastAsia="宋体"/>
          <w:i/>
          <w:iCs/>
          <w:color w:val="000000"/>
          <w:sz w:val="24"/>
          <w:szCs w:val="24"/>
          <w:highlight w:val="none"/>
          <w:u w:val="single"/>
        </w:rPr>
        <w:t>(单位名称)</w:t>
      </w:r>
      <w:r>
        <w:rPr>
          <w:rFonts w:ascii="宋体" w:hAnsi="宋体" w:eastAsia="宋体"/>
          <w:color w:val="000000"/>
          <w:sz w:val="24"/>
          <w:szCs w:val="24"/>
          <w:highlight w:val="none"/>
        </w:rPr>
        <w:t>的</w:t>
      </w:r>
      <w:r>
        <w:rPr>
          <w:rFonts w:ascii="宋体" w:hAnsi="宋体" w:eastAsia="宋体"/>
          <w:i/>
          <w:iCs/>
          <w:color w:val="000000"/>
          <w:sz w:val="24"/>
          <w:szCs w:val="24"/>
          <w:highlight w:val="none"/>
          <w:u w:val="single"/>
        </w:rPr>
        <w:t>(项目名称)</w:t>
      </w:r>
      <w:r>
        <w:rPr>
          <w:rFonts w:ascii="宋体" w:hAnsi="宋体" w:eastAsia="宋体"/>
          <w:color w:val="000000"/>
          <w:sz w:val="24"/>
          <w:szCs w:val="24"/>
          <w:highlight w:val="none"/>
        </w:rPr>
        <w:t>采购活动，提供的货物全部由符合政策要求的中小企业制造。相关企业(含联合体中的中小企业、签订分包意向协议的中小企业)的具体情况如下</w:t>
      </w:r>
      <w:r>
        <w:rPr>
          <w:rFonts w:ascii="宋体" w:hAnsi="宋体" w:eastAsia="宋体"/>
          <w:color w:val="000000"/>
          <w:sz w:val="24"/>
          <w:szCs w:val="24"/>
          <w:highlight w:val="none"/>
          <w:lang w:eastAsia="zh-CN"/>
        </w:rPr>
        <w:t>：</w:t>
      </w:r>
    </w:p>
    <w:p w14:paraId="64EA4D58">
      <w:pPr>
        <w:pStyle w:val="104"/>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1</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rPr>
        <w:t>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rPr>
        <w:t>制造商为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4C80B046">
      <w:pPr>
        <w:pStyle w:val="104"/>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2</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rPr>
        <w:t>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rPr>
        <w:t>制造商为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1F4C2ECE">
      <w:pPr>
        <w:pStyle w:val="104"/>
        <w:snapToGrid/>
        <w:spacing w:line="480" w:lineRule="auto"/>
        <w:ind w:firstLine="480" w:firstLineChars="200"/>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w:t>
      </w:r>
    </w:p>
    <w:p w14:paraId="659BD576">
      <w:pPr>
        <w:pStyle w:val="104"/>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以上企业，不属于大企业的分支机构，不存在控股股东为大企业的情形，也不存在与大企业的负责人为同一人的情形。</w:t>
      </w:r>
    </w:p>
    <w:p w14:paraId="6B8D9C35">
      <w:pPr>
        <w:pStyle w:val="104"/>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本企业对上述声明内容的真实性负责。如有虚假，将依法承担相应责任。</w:t>
      </w:r>
    </w:p>
    <w:p w14:paraId="7D41FC0E">
      <w:pPr>
        <w:pStyle w:val="104"/>
        <w:snapToGrid/>
        <w:spacing w:line="480" w:lineRule="auto"/>
        <w:jc w:val="center"/>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 xml:space="preserve">                        </w:t>
      </w:r>
    </w:p>
    <w:p w14:paraId="637009E7">
      <w:pPr>
        <w:pStyle w:val="104"/>
        <w:snapToGrid/>
        <w:spacing w:line="48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企业名称(盖章):</w:t>
      </w:r>
    </w:p>
    <w:p w14:paraId="365F9A77">
      <w:pPr>
        <w:pStyle w:val="104"/>
        <w:snapToGrid/>
        <w:spacing w:line="480" w:lineRule="auto"/>
        <w:jc w:val="center"/>
        <w:rPr>
          <w:rFonts w:ascii="宋体" w:hAnsi="宋体" w:eastAsia="宋体"/>
          <w:b/>
          <w:bCs/>
          <w:color w:val="000000"/>
          <w:sz w:val="24"/>
          <w:szCs w:val="24"/>
          <w:highlight w:val="none"/>
          <w:lang w:val="en-US" w:eastAsia="zh-CN"/>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日期:</w:t>
      </w:r>
    </w:p>
    <w:p w14:paraId="5A6F523B">
      <w:pPr>
        <w:pStyle w:val="104"/>
        <w:snapToGrid/>
        <w:jc w:val="left"/>
        <w:rPr>
          <w:rFonts w:ascii="宋体" w:hAnsi="宋体" w:eastAsia="宋体"/>
          <w:b/>
          <w:bCs/>
          <w:color w:val="000000"/>
          <w:sz w:val="24"/>
          <w:szCs w:val="24"/>
          <w:highlight w:val="none"/>
          <w:lang w:val="en-US" w:eastAsia="zh-CN"/>
        </w:rPr>
      </w:pPr>
    </w:p>
    <w:p w14:paraId="6F982A19">
      <w:pPr>
        <w:pStyle w:val="104"/>
        <w:snapToGrid/>
        <w:jc w:val="left"/>
        <w:rPr>
          <w:rFonts w:ascii="宋体" w:hAnsi="宋体" w:eastAsia="宋体"/>
          <w:b/>
          <w:bCs/>
          <w:color w:val="000000"/>
          <w:sz w:val="24"/>
          <w:szCs w:val="24"/>
          <w:highlight w:val="none"/>
          <w:lang w:val="en-US" w:eastAsia="zh-CN"/>
        </w:rPr>
      </w:pPr>
      <w:r>
        <w:rPr>
          <w:rFonts w:ascii="宋体" w:hAnsi="宋体" w:eastAsia="宋体"/>
          <w:b/>
          <w:bCs/>
          <w:color w:val="000000"/>
          <w:sz w:val="24"/>
          <w:szCs w:val="24"/>
          <w:highlight w:val="none"/>
          <w:lang w:val="en-US" w:eastAsia="zh-CN"/>
        </w:rPr>
        <w:t>注：从业人员、营业收入、资产总额填报上一年度数据，无上一年度数据的新成立企业可不填报。</w:t>
      </w:r>
    </w:p>
    <w:p w14:paraId="2F390F65">
      <w:pPr>
        <w:pStyle w:val="104"/>
        <w:snapToGrid/>
        <w:spacing w:before="0" w:after="0" w:line="240" w:lineRule="auto"/>
        <w:ind w:left="0" w:right="-12" w:firstLine="0"/>
        <w:jc w:val="center"/>
        <w:rPr>
          <w:rFonts w:ascii="宋体" w:hAnsi="宋体" w:eastAsia="宋体"/>
          <w:b/>
          <w:color w:val="000000"/>
          <w:spacing w:val="0"/>
          <w:position w:val="0"/>
          <w:sz w:val="24"/>
          <w:highlight w:val="none"/>
          <w:shd w:val="clear" w:color="auto" w:fill="auto"/>
        </w:rPr>
      </w:pPr>
      <w:r>
        <w:rPr>
          <w:rFonts w:ascii="宋体" w:hAnsi="宋体" w:eastAsia="宋体"/>
          <w:b/>
          <w:bCs/>
          <w:color w:val="000000"/>
          <w:sz w:val="22"/>
          <w:highlight w:val="none"/>
        </w:rPr>
        <w:br w:type="page"/>
      </w:r>
      <w:r>
        <w:rPr>
          <w:rFonts w:ascii="宋体" w:hAnsi="Arial" w:eastAsia="宋体"/>
          <w:b/>
          <w:bCs/>
          <w:color w:val="000000"/>
          <w:sz w:val="32"/>
          <w:szCs w:val="30"/>
          <w:highlight w:val="none"/>
          <w:lang w:val="en-US" w:eastAsia="zh-CN" w:bidi="ar-SA"/>
        </w:rPr>
        <w:t>省级以上监狱管理局、戒毒管理局（含新疆生产建设兵团）出具的属于监狱企业的证明文件</w:t>
      </w:r>
    </w:p>
    <w:p w14:paraId="39CA09DB">
      <w:pPr>
        <w:pStyle w:val="104"/>
        <w:autoSpaceDE w:val="0"/>
        <w:autoSpaceDN w:val="0"/>
        <w:snapToGrid/>
        <w:jc w:val="center"/>
        <w:rPr>
          <w:rStyle w:val="106"/>
          <w:rFonts w:ascii="宋体" w:hAnsi="宋体" w:eastAsia="宋体"/>
          <w:b w:val="0"/>
          <w:bCs w:val="0"/>
          <w:color w:val="000000"/>
          <w:sz w:val="36"/>
          <w:szCs w:val="36"/>
          <w:highlight w:val="none"/>
        </w:rPr>
      </w:pPr>
      <w:r>
        <w:rPr>
          <w:rFonts w:ascii="宋体" w:hAnsi="宋体" w:eastAsia="宋体"/>
          <w:color w:val="000000"/>
          <w:sz w:val="24"/>
          <w:highlight w:val="none"/>
        </w:rPr>
        <w:t>（如果是，提供）</w:t>
      </w:r>
    </w:p>
    <w:p w14:paraId="06C0BB0F">
      <w:pPr>
        <w:pStyle w:val="110"/>
        <w:snapToGrid/>
        <w:spacing w:line="240" w:lineRule="atLeast"/>
        <w:ind w:firstLine="960" w:firstLineChars="400"/>
        <w:rPr>
          <w:rFonts w:ascii="宋体" w:eastAsia="宋体"/>
          <w:b w:val="0"/>
          <w:color w:val="000000"/>
          <w:sz w:val="24"/>
          <w:highlight w:val="none"/>
        </w:rPr>
      </w:pPr>
    </w:p>
    <w:p w14:paraId="37AB96BB">
      <w:pPr>
        <w:pStyle w:val="104"/>
        <w:snapToGrid/>
        <w:spacing w:line="240" w:lineRule="atLeast"/>
        <w:ind w:left="1080" w:leftChars="257" w:hanging="540"/>
        <w:jc w:val="center"/>
        <w:rPr>
          <w:rFonts w:ascii="宋体"/>
          <w:color w:val="000000"/>
          <w:sz w:val="24"/>
          <w:szCs w:val="20"/>
          <w:highlight w:val="none"/>
        </w:rPr>
      </w:pPr>
    </w:p>
    <w:p w14:paraId="7A29F77E">
      <w:pPr>
        <w:pStyle w:val="104"/>
        <w:snapToGrid/>
        <w:spacing w:line="240" w:lineRule="atLeast"/>
        <w:ind w:left="1080" w:leftChars="257" w:hanging="540"/>
        <w:jc w:val="center"/>
        <w:rPr>
          <w:rFonts w:ascii="宋体"/>
          <w:b/>
          <w:color w:val="000000"/>
          <w:sz w:val="24"/>
          <w:szCs w:val="20"/>
          <w:highlight w:val="none"/>
        </w:rPr>
      </w:pPr>
    </w:p>
    <w:p w14:paraId="7A38D3EF">
      <w:pPr>
        <w:pStyle w:val="104"/>
        <w:snapToGrid/>
        <w:spacing w:line="240" w:lineRule="atLeast"/>
        <w:ind w:left="1080" w:leftChars="257" w:hanging="540"/>
        <w:jc w:val="center"/>
        <w:rPr>
          <w:rFonts w:ascii="宋体"/>
          <w:b/>
          <w:color w:val="000000"/>
          <w:sz w:val="24"/>
          <w:szCs w:val="20"/>
          <w:highlight w:val="none"/>
        </w:rPr>
      </w:pPr>
    </w:p>
    <w:p w14:paraId="430F499D">
      <w:pPr>
        <w:pStyle w:val="104"/>
        <w:snapToGrid/>
        <w:spacing w:line="240" w:lineRule="atLeast"/>
        <w:ind w:left="1080" w:leftChars="257" w:hanging="540"/>
        <w:jc w:val="center"/>
        <w:rPr>
          <w:rFonts w:ascii="宋体"/>
          <w:b/>
          <w:color w:val="000000"/>
          <w:sz w:val="24"/>
          <w:szCs w:val="20"/>
          <w:highlight w:val="none"/>
        </w:rPr>
      </w:pPr>
    </w:p>
    <w:p w14:paraId="2A669884">
      <w:pPr>
        <w:pStyle w:val="104"/>
        <w:snapToGrid/>
        <w:spacing w:line="240" w:lineRule="atLeast"/>
        <w:ind w:left="1080" w:leftChars="257" w:hanging="540"/>
        <w:jc w:val="center"/>
        <w:rPr>
          <w:rFonts w:ascii="宋体"/>
          <w:b/>
          <w:color w:val="000000"/>
          <w:sz w:val="24"/>
          <w:szCs w:val="20"/>
          <w:highlight w:val="none"/>
        </w:rPr>
      </w:pPr>
    </w:p>
    <w:p w14:paraId="28A850EF">
      <w:pPr>
        <w:pStyle w:val="104"/>
        <w:snapToGrid/>
        <w:spacing w:line="240" w:lineRule="atLeast"/>
        <w:ind w:left="1080" w:leftChars="257" w:hanging="540"/>
        <w:jc w:val="center"/>
        <w:rPr>
          <w:rFonts w:ascii="宋体"/>
          <w:b/>
          <w:color w:val="000000"/>
          <w:sz w:val="24"/>
          <w:szCs w:val="20"/>
          <w:highlight w:val="none"/>
        </w:rPr>
      </w:pPr>
    </w:p>
    <w:p w14:paraId="2A9FDB9B">
      <w:pPr>
        <w:pStyle w:val="104"/>
        <w:snapToGrid/>
        <w:spacing w:line="240" w:lineRule="atLeast"/>
        <w:ind w:left="1080" w:leftChars="257" w:hanging="540"/>
        <w:jc w:val="center"/>
        <w:rPr>
          <w:rFonts w:ascii="宋体"/>
          <w:b/>
          <w:color w:val="000000"/>
          <w:sz w:val="24"/>
          <w:szCs w:val="20"/>
          <w:highlight w:val="none"/>
        </w:rPr>
      </w:pPr>
    </w:p>
    <w:p w14:paraId="112516D8">
      <w:pPr>
        <w:pStyle w:val="104"/>
        <w:snapToGrid/>
        <w:spacing w:line="240" w:lineRule="atLeast"/>
        <w:ind w:left="1080" w:leftChars="257" w:hanging="540"/>
        <w:jc w:val="center"/>
        <w:rPr>
          <w:rFonts w:ascii="宋体"/>
          <w:b/>
          <w:color w:val="000000"/>
          <w:sz w:val="24"/>
          <w:szCs w:val="20"/>
          <w:highlight w:val="none"/>
        </w:rPr>
      </w:pPr>
    </w:p>
    <w:p w14:paraId="0B1061EE">
      <w:pPr>
        <w:pStyle w:val="104"/>
        <w:snapToGrid/>
        <w:spacing w:line="240" w:lineRule="atLeast"/>
        <w:ind w:left="1080" w:leftChars="257" w:hanging="540"/>
        <w:jc w:val="center"/>
        <w:rPr>
          <w:rFonts w:ascii="宋体"/>
          <w:b/>
          <w:color w:val="000000"/>
          <w:sz w:val="24"/>
          <w:szCs w:val="20"/>
          <w:highlight w:val="none"/>
        </w:rPr>
      </w:pPr>
    </w:p>
    <w:p w14:paraId="69ED82DD">
      <w:pPr>
        <w:pStyle w:val="104"/>
        <w:snapToGrid/>
        <w:spacing w:line="240" w:lineRule="atLeast"/>
        <w:ind w:left="1080" w:leftChars="257" w:hanging="540"/>
        <w:jc w:val="center"/>
        <w:rPr>
          <w:rFonts w:ascii="宋体"/>
          <w:b/>
          <w:color w:val="000000"/>
          <w:sz w:val="24"/>
          <w:szCs w:val="20"/>
          <w:highlight w:val="none"/>
        </w:rPr>
      </w:pPr>
    </w:p>
    <w:p w14:paraId="6AFEB5DF">
      <w:pPr>
        <w:pStyle w:val="104"/>
        <w:snapToGrid/>
        <w:spacing w:line="240" w:lineRule="atLeast"/>
        <w:ind w:left="1080" w:leftChars="257" w:hanging="540"/>
        <w:jc w:val="center"/>
        <w:rPr>
          <w:rFonts w:ascii="宋体"/>
          <w:b/>
          <w:color w:val="000000"/>
          <w:sz w:val="24"/>
          <w:szCs w:val="20"/>
          <w:highlight w:val="none"/>
        </w:rPr>
      </w:pPr>
    </w:p>
    <w:p w14:paraId="30A9179C">
      <w:pPr>
        <w:pStyle w:val="104"/>
        <w:snapToGrid/>
        <w:spacing w:line="240" w:lineRule="atLeast"/>
        <w:ind w:left="1080" w:leftChars="257" w:hanging="540"/>
        <w:jc w:val="center"/>
        <w:rPr>
          <w:rFonts w:ascii="宋体"/>
          <w:b/>
          <w:color w:val="000000"/>
          <w:sz w:val="24"/>
          <w:szCs w:val="20"/>
          <w:highlight w:val="none"/>
        </w:rPr>
      </w:pPr>
    </w:p>
    <w:p w14:paraId="670B4F34">
      <w:pPr>
        <w:pStyle w:val="104"/>
        <w:snapToGrid/>
        <w:spacing w:line="240" w:lineRule="atLeast"/>
        <w:ind w:left="1080" w:leftChars="257" w:hanging="540"/>
        <w:jc w:val="center"/>
        <w:rPr>
          <w:rFonts w:ascii="宋体"/>
          <w:b/>
          <w:color w:val="000000"/>
          <w:sz w:val="24"/>
          <w:szCs w:val="20"/>
          <w:highlight w:val="none"/>
        </w:rPr>
      </w:pPr>
    </w:p>
    <w:p w14:paraId="3C160A26">
      <w:pPr>
        <w:pStyle w:val="104"/>
        <w:snapToGrid/>
        <w:spacing w:line="240" w:lineRule="atLeast"/>
        <w:ind w:left="1080" w:leftChars="257" w:hanging="540"/>
        <w:jc w:val="center"/>
        <w:rPr>
          <w:rFonts w:ascii="宋体"/>
          <w:b/>
          <w:color w:val="000000"/>
          <w:sz w:val="24"/>
          <w:szCs w:val="20"/>
          <w:highlight w:val="none"/>
        </w:rPr>
      </w:pPr>
    </w:p>
    <w:p w14:paraId="26C54AA5">
      <w:pPr>
        <w:pStyle w:val="104"/>
        <w:snapToGrid/>
        <w:spacing w:line="240" w:lineRule="atLeast"/>
        <w:ind w:left="1080" w:leftChars="257" w:hanging="540"/>
        <w:jc w:val="center"/>
        <w:rPr>
          <w:rFonts w:ascii="宋体"/>
          <w:b/>
          <w:color w:val="000000"/>
          <w:sz w:val="24"/>
          <w:szCs w:val="20"/>
          <w:highlight w:val="none"/>
        </w:rPr>
      </w:pPr>
    </w:p>
    <w:p w14:paraId="7D5D537E">
      <w:pPr>
        <w:pStyle w:val="104"/>
        <w:snapToGrid/>
        <w:spacing w:line="240" w:lineRule="atLeast"/>
        <w:ind w:left="1080" w:leftChars="257" w:hanging="540"/>
        <w:jc w:val="center"/>
        <w:rPr>
          <w:rFonts w:ascii="宋体"/>
          <w:b/>
          <w:color w:val="000000"/>
          <w:sz w:val="24"/>
          <w:szCs w:val="20"/>
          <w:highlight w:val="none"/>
        </w:rPr>
      </w:pPr>
    </w:p>
    <w:p w14:paraId="61EFF45C">
      <w:pPr>
        <w:pStyle w:val="104"/>
        <w:snapToGrid/>
        <w:spacing w:line="240" w:lineRule="atLeast"/>
        <w:ind w:left="1080" w:leftChars="257" w:hanging="540"/>
        <w:jc w:val="center"/>
        <w:rPr>
          <w:rFonts w:ascii="宋体"/>
          <w:b/>
          <w:color w:val="000000"/>
          <w:sz w:val="24"/>
          <w:szCs w:val="20"/>
          <w:highlight w:val="none"/>
        </w:rPr>
      </w:pPr>
    </w:p>
    <w:p w14:paraId="1EF24C4D">
      <w:pPr>
        <w:pStyle w:val="104"/>
        <w:snapToGrid/>
        <w:spacing w:line="240" w:lineRule="atLeast"/>
        <w:ind w:left="1080" w:leftChars="257" w:hanging="540"/>
        <w:jc w:val="center"/>
        <w:rPr>
          <w:rFonts w:ascii="宋体"/>
          <w:b/>
          <w:color w:val="000000"/>
          <w:sz w:val="24"/>
          <w:szCs w:val="20"/>
          <w:highlight w:val="none"/>
        </w:rPr>
      </w:pPr>
    </w:p>
    <w:p w14:paraId="359881CA">
      <w:pPr>
        <w:pStyle w:val="104"/>
        <w:snapToGrid/>
        <w:spacing w:line="240" w:lineRule="atLeast"/>
        <w:ind w:left="1080" w:leftChars="257" w:hanging="540"/>
        <w:jc w:val="center"/>
        <w:rPr>
          <w:rFonts w:ascii="宋体"/>
          <w:b/>
          <w:color w:val="000000"/>
          <w:sz w:val="24"/>
          <w:szCs w:val="20"/>
          <w:highlight w:val="none"/>
        </w:rPr>
      </w:pPr>
    </w:p>
    <w:p w14:paraId="38CC24A9">
      <w:pPr>
        <w:pStyle w:val="104"/>
        <w:snapToGrid/>
        <w:spacing w:line="240" w:lineRule="atLeast"/>
        <w:ind w:left="1080" w:leftChars="257" w:hanging="540"/>
        <w:jc w:val="center"/>
        <w:rPr>
          <w:rFonts w:ascii="宋体"/>
          <w:b/>
          <w:color w:val="000000"/>
          <w:sz w:val="24"/>
          <w:szCs w:val="20"/>
          <w:highlight w:val="none"/>
        </w:rPr>
      </w:pPr>
    </w:p>
    <w:p w14:paraId="793189EA">
      <w:pPr>
        <w:pStyle w:val="104"/>
        <w:snapToGrid/>
        <w:spacing w:line="240" w:lineRule="atLeast"/>
        <w:ind w:left="1080" w:leftChars="257" w:hanging="540"/>
        <w:jc w:val="center"/>
        <w:rPr>
          <w:rFonts w:ascii="宋体"/>
          <w:b/>
          <w:color w:val="000000"/>
          <w:sz w:val="24"/>
          <w:szCs w:val="20"/>
          <w:highlight w:val="none"/>
        </w:rPr>
      </w:pPr>
    </w:p>
    <w:p w14:paraId="1C7D770D">
      <w:pPr>
        <w:pStyle w:val="110"/>
        <w:snapToGrid/>
        <w:spacing w:line="360" w:lineRule="auto"/>
        <w:jc w:val="center"/>
        <w:rPr>
          <w:rFonts w:ascii="Times New Roman" w:hAnsi="Times New Roman" w:eastAsia="宋体"/>
          <w:b w:val="0"/>
          <w:color w:val="000000"/>
          <w:szCs w:val="30"/>
          <w:highlight w:val="none"/>
        </w:rPr>
      </w:pPr>
      <w:r>
        <w:rPr>
          <w:rFonts w:ascii="宋体" w:eastAsia="宋体"/>
          <w:color w:val="000000"/>
          <w:sz w:val="24"/>
          <w:highlight w:val="none"/>
        </w:rPr>
        <w:br w:type="page"/>
      </w:r>
      <w:r>
        <w:rPr>
          <w:rFonts w:ascii="宋体" w:eastAsia="宋体"/>
          <w:bCs/>
          <w:color w:val="000000"/>
          <w:szCs w:val="30"/>
          <w:highlight w:val="none"/>
        </w:rPr>
        <w:t>残疾人福利性单位声明函</w:t>
      </w:r>
    </w:p>
    <w:p w14:paraId="17D55817">
      <w:pPr>
        <w:pStyle w:val="104"/>
        <w:snapToGrid/>
        <w:spacing w:line="360" w:lineRule="auto"/>
        <w:rPr>
          <w:rFonts w:ascii="仿宋_GB2312" w:eastAsia="仿宋_GB2312"/>
          <w:color w:val="000000"/>
          <w:sz w:val="24"/>
          <w:highlight w:val="none"/>
        </w:rPr>
      </w:pPr>
    </w:p>
    <w:p w14:paraId="51ED1166">
      <w:pPr>
        <w:pStyle w:val="104"/>
        <w:autoSpaceDE w:val="0"/>
        <w:autoSpaceDN w:val="0"/>
        <w:snapToGrid/>
        <w:ind w:firstLine="480" w:firstLineChars="200"/>
        <w:jc w:val="center"/>
        <w:rPr>
          <w:rFonts w:ascii="宋体" w:hAnsi="宋体" w:eastAsia="宋体"/>
          <w:color w:val="000000"/>
          <w:sz w:val="24"/>
          <w:highlight w:val="none"/>
        </w:rPr>
      </w:pPr>
      <w:r>
        <w:rPr>
          <w:rFonts w:ascii="宋体" w:hAnsi="宋体" w:eastAsia="宋体"/>
          <w:color w:val="000000"/>
          <w:sz w:val="24"/>
          <w:highlight w:val="none"/>
        </w:rPr>
        <w:t>（如果是，提供）</w:t>
      </w:r>
    </w:p>
    <w:p w14:paraId="30BA3BCB">
      <w:pPr>
        <w:pStyle w:val="104"/>
        <w:autoSpaceDE w:val="0"/>
        <w:autoSpaceDN w:val="0"/>
        <w:snapToGrid/>
        <w:ind w:firstLine="480" w:firstLineChars="200"/>
        <w:rPr>
          <w:rFonts w:ascii="宋体" w:hAnsi="宋体" w:eastAsia="宋体"/>
          <w:color w:val="000000"/>
          <w:sz w:val="24"/>
          <w:highlight w:val="none"/>
        </w:rPr>
      </w:pPr>
      <w:r>
        <w:rPr>
          <w:rFonts w:ascii="宋体" w:hAnsi="宋体" w:eastAsia="宋体"/>
          <w:color w:val="00000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货物），或者提供其他残疾人福利性单位制造的货物（不包括使用非残疾人福利性单位注册商标的货物）。</w:t>
      </w:r>
    </w:p>
    <w:p w14:paraId="3FD6286A">
      <w:pPr>
        <w:pStyle w:val="104"/>
        <w:autoSpaceDE w:val="0"/>
        <w:autoSpaceDN w:val="0"/>
        <w:snapToGrid/>
        <w:ind w:firstLine="480" w:firstLineChars="200"/>
        <w:rPr>
          <w:rFonts w:ascii="宋体" w:hAnsi="宋体" w:eastAsia="宋体"/>
          <w:color w:val="000000"/>
          <w:sz w:val="24"/>
          <w:highlight w:val="none"/>
        </w:rPr>
      </w:pPr>
      <w:r>
        <w:rPr>
          <w:rFonts w:ascii="宋体" w:hAnsi="宋体" w:eastAsia="宋体"/>
          <w:color w:val="000000"/>
          <w:sz w:val="24"/>
          <w:highlight w:val="none"/>
        </w:rPr>
        <w:t>本单位对上述声明的真实性负责。如有虚假，将依法承担相应责任。</w:t>
      </w:r>
    </w:p>
    <w:p w14:paraId="429E6439">
      <w:pPr>
        <w:pStyle w:val="104"/>
        <w:snapToGrid/>
        <w:spacing w:line="360" w:lineRule="auto"/>
        <w:ind w:firstLine="480" w:firstLineChars="200"/>
        <w:jc w:val="left"/>
        <w:rPr>
          <w:rFonts w:ascii="宋体"/>
          <w:bCs/>
          <w:color w:val="000000"/>
          <w:sz w:val="24"/>
          <w:highlight w:val="none"/>
        </w:rPr>
      </w:pPr>
    </w:p>
    <w:p w14:paraId="3E7956AB">
      <w:pPr>
        <w:pStyle w:val="104"/>
        <w:snapToGrid/>
        <w:spacing w:line="360" w:lineRule="auto"/>
        <w:ind w:left="1080" w:leftChars="257" w:hanging="540"/>
        <w:rPr>
          <w:rFonts w:ascii="宋体"/>
          <w:bCs/>
          <w:color w:val="000000"/>
          <w:sz w:val="24"/>
          <w:highlight w:val="none"/>
        </w:rPr>
      </w:pPr>
    </w:p>
    <w:p w14:paraId="22348A34">
      <w:pPr>
        <w:pStyle w:val="111"/>
        <w:snapToGrid/>
        <w:rPr>
          <w:bCs/>
          <w:color w:val="000000"/>
          <w:szCs w:val="24"/>
          <w:highlight w:val="none"/>
        </w:rPr>
      </w:pPr>
    </w:p>
    <w:p w14:paraId="3A6FFF98">
      <w:pPr>
        <w:pStyle w:val="111"/>
        <w:snapToGrid/>
        <w:rPr>
          <w:bCs/>
          <w:color w:val="000000"/>
          <w:szCs w:val="24"/>
          <w:highlight w:val="none"/>
        </w:rPr>
      </w:pPr>
    </w:p>
    <w:p w14:paraId="75E89049">
      <w:pPr>
        <w:pStyle w:val="104"/>
        <w:snapToGrid/>
        <w:spacing w:line="360" w:lineRule="auto"/>
        <w:ind w:left="1080" w:leftChars="257" w:hanging="540"/>
        <w:rPr>
          <w:rFonts w:ascii="宋体"/>
          <w:bCs/>
          <w:color w:val="000000"/>
          <w:sz w:val="24"/>
          <w:highlight w:val="none"/>
        </w:rPr>
      </w:pPr>
    </w:p>
    <w:p w14:paraId="4EE7A5FF">
      <w:pPr>
        <w:pStyle w:val="104"/>
        <w:snapToGrid/>
        <w:spacing w:line="360" w:lineRule="auto"/>
        <w:ind w:left="1080" w:leftChars="257" w:hanging="540"/>
        <w:rPr>
          <w:rFonts w:ascii="宋体"/>
          <w:bCs/>
          <w:color w:val="000000"/>
          <w:sz w:val="24"/>
          <w:highlight w:val="none"/>
        </w:rPr>
      </w:pPr>
      <w:r>
        <w:rPr>
          <w:rFonts w:ascii="宋体"/>
          <w:bCs/>
          <w:color w:val="000000"/>
          <w:sz w:val="24"/>
          <w:highlight w:val="none"/>
        </w:rPr>
        <w:t xml:space="preserve">    投标人名称（盖章）：</w:t>
      </w:r>
    </w:p>
    <w:p w14:paraId="2D80C8CB">
      <w:pPr>
        <w:pStyle w:val="104"/>
        <w:snapToGrid/>
        <w:spacing w:line="360" w:lineRule="auto"/>
        <w:ind w:left="1080" w:leftChars="257" w:hanging="540"/>
        <w:rPr>
          <w:rFonts w:ascii="宋体"/>
          <w:bCs/>
          <w:color w:val="000000"/>
          <w:sz w:val="24"/>
          <w:highlight w:val="none"/>
        </w:rPr>
      </w:pPr>
      <w:r>
        <w:rPr>
          <w:rFonts w:ascii="宋体"/>
          <w:bCs/>
          <w:color w:val="000000"/>
          <w:sz w:val="24"/>
          <w:highlight w:val="none"/>
        </w:rPr>
        <w:t xml:space="preserve">       日  期：</w:t>
      </w:r>
    </w:p>
    <w:p w14:paraId="50EB267F">
      <w:pPr>
        <w:pStyle w:val="104"/>
        <w:tabs>
          <w:tab w:val="left" w:pos="720"/>
        </w:tabs>
        <w:snapToGrid/>
        <w:jc w:val="center"/>
        <w:rPr>
          <w:rFonts w:ascii="宋体"/>
          <w:bCs/>
          <w:color w:val="000000"/>
          <w:sz w:val="24"/>
          <w:highlight w:val="none"/>
        </w:rPr>
      </w:pPr>
      <w:r>
        <w:rPr>
          <w:rFonts w:ascii="宋体"/>
          <w:bCs/>
          <w:color w:val="000000"/>
          <w:sz w:val="24"/>
          <w:highlight w:val="none"/>
        </w:rPr>
        <w:br w:type="page"/>
      </w:r>
      <w:bookmarkStart w:id="42" w:name="_Toc17846"/>
      <w:bookmarkStart w:id="43" w:name="_Toc9006527"/>
    </w:p>
    <w:p w14:paraId="309A958C">
      <w:pPr>
        <w:pStyle w:val="104"/>
        <w:tabs>
          <w:tab w:val="left" w:pos="720"/>
        </w:tabs>
        <w:snapToGrid/>
        <w:jc w:val="center"/>
        <w:rPr>
          <w:rFonts w:ascii="宋体" w:hAnsi="宋体"/>
          <w:bCs/>
          <w:color w:val="000000"/>
          <w:sz w:val="30"/>
          <w:szCs w:val="30"/>
          <w:highlight w:val="none"/>
        </w:rPr>
      </w:pPr>
      <w:r>
        <w:rPr>
          <w:rFonts w:ascii="宋体" w:hAnsi="宋体"/>
          <w:b/>
          <w:color w:val="000000"/>
          <w:sz w:val="30"/>
          <w:szCs w:val="30"/>
          <w:highlight w:val="none"/>
        </w:rPr>
        <w:t>节能产品、环境标志产品政府优先采购认证证书一览表</w:t>
      </w:r>
      <w:bookmarkEnd w:id="42"/>
      <w:bookmarkEnd w:id="43"/>
    </w:p>
    <w:p w14:paraId="4D2F1C4C">
      <w:pPr>
        <w:pStyle w:val="104"/>
        <w:autoSpaceDE w:val="0"/>
        <w:autoSpaceDN w:val="0"/>
        <w:snapToGrid/>
        <w:spacing w:line="360" w:lineRule="auto"/>
        <w:jc w:val="center"/>
        <w:rPr>
          <w:rFonts w:ascii="宋体" w:hAnsi="宋体"/>
          <w:color w:val="000000"/>
          <w:sz w:val="24"/>
          <w:highlight w:val="none"/>
        </w:rPr>
      </w:pPr>
      <w:r>
        <w:rPr>
          <w:rFonts w:ascii="宋体" w:hAnsi="宋体"/>
          <w:color w:val="000000"/>
          <w:sz w:val="24"/>
          <w:highlight w:val="none"/>
        </w:rPr>
        <w:t>（如果有，提供）</w:t>
      </w:r>
    </w:p>
    <w:p w14:paraId="0DC17895">
      <w:pPr>
        <w:pStyle w:val="104"/>
        <w:snapToGrid/>
        <w:jc w:val="center"/>
        <w:rPr>
          <w:rFonts w:ascii="宋体" w:hAnsi="宋体"/>
          <w:color w:val="000000"/>
          <w:highlight w:val="none"/>
        </w:rPr>
      </w:pPr>
    </w:p>
    <w:p w14:paraId="001AE217">
      <w:pPr>
        <w:pStyle w:val="104"/>
        <w:snapToGrid w:val="0"/>
        <w:spacing w:line="300" w:lineRule="auto"/>
        <w:rPr>
          <w:rFonts w:ascii="宋体" w:hAnsi="宋体"/>
          <w:color w:val="000000"/>
          <w:sz w:val="24"/>
          <w:highlight w:val="none"/>
          <w:u w:val="single"/>
        </w:rPr>
      </w:pPr>
      <w:r>
        <w:rPr>
          <w:rFonts w:ascii="宋体" w:hAnsi="宋体"/>
          <w:color w:val="000000"/>
          <w:sz w:val="24"/>
          <w:highlight w:val="none"/>
        </w:rPr>
        <w:t xml:space="preserve">采购项目名称： </w:t>
      </w:r>
      <w:r>
        <w:rPr>
          <w:rFonts w:ascii="宋体" w:hAnsi="宋体"/>
          <w:color w:val="000000"/>
          <w:sz w:val="24"/>
          <w:highlight w:val="none"/>
          <w:u w:val="single"/>
        </w:rPr>
        <w:t xml:space="preserve">                       </w:t>
      </w:r>
    </w:p>
    <w:p w14:paraId="2486599B">
      <w:pPr>
        <w:pStyle w:val="104"/>
        <w:snapToGrid w:val="0"/>
        <w:spacing w:line="300" w:lineRule="auto"/>
        <w:rPr>
          <w:rFonts w:ascii="宋体" w:hAnsi="宋体"/>
          <w:bCs/>
          <w:color w:val="000000"/>
          <w:sz w:val="24"/>
          <w:highlight w:val="none"/>
        </w:rPr>
      </w:pPr>
      <w:r>
        <w:rPr>
          <w:rFonts w:ascii="宋体" w:hAnsi="宋体"/>
          <w:color w:val="000000"/>
          <w:sz w:val="24"/>
          <w:highlight w:val="none"/>
        </w:rPr>
        <w:t>采购项目编号：</w:t>
      </w:r>
      <w:r>
        <w:rPr>
          <w:rFonts w:ascii="宋体" w:hAnsi="宋体"/>
          <w:i/>
          <w:iCs/>
          <w:color w:val="000000"/>
          <w:sz w:val="24"/>
          <w:highlight w:val="none"/>
        </w:rPr>
        <w:t xml:space="preserve"> </w:t>
      </w:r>
      <w:r>
        <w:rPr>
          <w:rFonts w:ascii="宋体" w:hAnsi="宋体"/>
          <w:color w:val="000000"/>
          <w:sz w:val="24"/>
          <w:highlight w:val="none"/>
          <w:u w:val="single"/>
        </w:rPr>
        <w:t xml:space="preserve">                       </w:t>
      </w:r>
    </w:p>
    <w:tbl>
      <w:tblPr>
        <w:tblStyle w:val="33"/>
        <w:tblpPr w:leftFromText="180" w:rightFromText="180" w:vertAnchor="text" w:horzAnchor="page" w:tblpX="1400" w:tblpY="106"/>
        <w:tblOverlap w:val="never"/>
        <w:tblW w:w="99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581"/>
        <w:gridCol w:w="903"/>
        <w:gridCol w:w="720"/>
        <w:gridCol w:w="1190"/>
        <w:gridCol w:w="1366"/>
        <w:gridCol w:w="1191"/>
        <w:gridCol w:w="999"/>
        <w:gridCol w:w="1221"/>
      </w:tblGrid>
      <w:tr w14:paraId="78246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1E4AC54">
            <w:pPr>
              <w:pStyle w:val="104"/>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序号</w:t>
            </w:r>
          </w:p>
        </w:tc>
        <w:tc>
          <w:tcPr>
            <w:tcW w:w="1581" w:type="dxa"/>
            <w:noWrap w:val="0"/>
            <w:vAlign w:val="center"/>
          </w:tcPr>
          <w:p w14:paraId="7300E9E7">
            <w:pPr>
              <w:pStyle w:val="104"/>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标的</w:t>
            </w:r>
            <w:r>
              <w:rPr>
                <w:rFonts w:ascii="宋体" w:hAnsi="宋体"/>
                <w:b/>
                <w:color w:val="000000"/>
                <w:sz w:val="24"/>
                <w:highlight w:val="none"/>
                <w:lang w:val="zh-CN"/>
              </w:rPr>
              <w:t>名称</w:t>
            </w:r>
          </w:p>
        </w:tc>
        <w:tc>
          <w:tcPr>
            <w:tcW w:w="903" w:type="dxa"/>
            <w:noWrap w:val="0"/>
            <w:vAlign w:val="center"/>
          </w:tcPr>
          <w:p w14:paraId="0185AD43">
            <w:pPr>
              <w:pStyle w:val="104"/>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品目</w:t>
            </w:r>
          </w:p>
        </w:tc>
        <w:tc>
          <w:tcPr>
            <w:tcW w:w="720" w:type="dxa"/>
            <w:noWrap w:val="0"/>
            <w:vAlign w:val="center"/>
          </w:tcPr>
          <w:p w14:paraId="5E1934AF">
            <w:pPr>
              <w:pStyle w:val="104"/>
              <w:autoSpaceDE w:val="0"/>
              <w:autoSpaceDN w:val="0"/>
              <w:snapToGrid/>
              <w:jc w:val="center"/>
              <w:rPr>
                <w:rFonts w:ascii="宋体" w:hAnsi="宋体"/>
                <w:b/>
                <w:color w:val="000000"/>
                <w:sz w:val="24"/>
                <w:highlight w:val="none"/>
              </w:rPr>
            </w:pPr>
            <w:r>
              <w:rPr>
                <w:rFonts w:ascii="宋体" w:hAnsi="宋体"/>
                <w:b/>
                <w:color w:val="000000"/>
                <w:sz w:val="24"/>
                <w:highlight w:val="none"/>
              </w:rPr>
              <w:t>品牌</w:t>
            </w:r>
          </w:p>
        </w:tc>
        <w:tc>
          <w:tcPr>
            <w:tcW w:w="1190" w:type="dxa"/>
            <w:noWrap w:val="0"/>
            <w:vAlign w:val="center"/>
          </w:tcPr>
          <w:p w14:paraId="0555784F">
            <w:pPr>
              <w:pStyle w:val="104"/>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规格型号</w:t>
            </w:r>
          </w:p>
        </w:tc>
        <w:tc>
          <w:tcPr>
            <w:tcW w:w="1366" w:type="dxa"/>
            <w:noWrap w:val="0"/>
            <w:vAlign w:val="center"/>
          </w:tcPr>
          <w:p w14:paraId="171C50F9">
            <w:pPr>
              <w:pStyle w:val="104"/>
              <w:autoSpaceDE w:val="0"/>
              <w:autoSpaceDN w:val="0"/>
              <w:snapToGrid/>
              <w:jc w:val="center"/>
              <w:rPr>
                <w:rFonts w:ascii="宋体" w:hAnsi="宋体"/>
                <w:b/>
                <w:color w:val="000000"/>
                <w:sz w:val="24"/>
                <w:highlight w:val="none"/>
              </w:rPr>
            </w:pPr>
            <w:r>
              <w:rPr>
                <w:rFonts w:ascii="宋体" w:hAnsi="宋体"/>
                <w:b/>
                <w:color w:val="000000"/>
                <w:sz w:val="24"/>
                <w:highlight w:val="none"/>
              </w:rPr>
              <w:t xml:space="preserve">生产者 </w:t>
            </w:r>
          </w:p>
          <w:p w14:paraId="3511C209">
            <w:pPr>
              <w:pStyle w:val="104"/>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（制造商）</w:t>
            </w:r>
          </w:p>
        </w:tc>
        <w:tc>
          <w:tcPr>
            <w:tcW w:w="1191" w:type="dxa"/>
            <w:noWrap w:val="0"/>
            <w:vAlign w:val="center"/>
          </w:tcPr>
          <w:p w14:paraId="3EFEA366">
            <w:pPr>
              <w:pStyle w:val="104"/>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证书编号</w:t>
            </w:r>
          </w:p>
        </w:tc>
        <w:tc>
          <w:tcPr>
            <w:tcW w:w="999" w:type="dxa"/>
            <w:noWrap w:val="0"/>
            <w:vAlign w:val="center"/>
          </w:tcPr>
          <w:p w14:paraId="4DDB8D80">
            <w:pPr>
              <w:pStyle w:val="104"/>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证书到期日期</w:t>
            </w:r>
          </w:p>
        </w:tc>
        <w:tc>
          <w:tcPr>
            <w:tcW w:w="1221" w:type="dxa"/>
            <w:noWrap w:val="0"/>
            <w:vAlign w:val="center"/>
          </w:tcPr>
          <w:p w14:paraId="538B0696">
            <w:pPr>
              <w:pStyle w:val="104"/>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发证机构</w:t>
            </w:r>
          </w:p>
        </w:tc>
      </w:tr>
      <w:tr w14:paraId="75144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6C3045">
            <w:pPr>
              <w:pStyle w:val="104"/>
              <w:snapToGrid w:val="0"/>
              <w:jc w:val="center"/>
              <w:rPr>
                <w:rFonts w:ascii="宋体" w:hAnsi="宋体"/>
                <w:color w:val="000000"/>
                <w:sz w:val="24"/>
                <w:highlight w:val="none"/>
              </w:rPr>
            </w:pPr>
            <w:r>
              <w:rPr>
                <w:rFonts w:ascii="宋体" w:hAnsi="宋体"/>
                <w:color w:val="000000"/>
                <w:sz w:val="24"/>
                <w:highlight w:val="none"/>
              </w:rPr>
              <w:t>1</w:t>
            </w:r>
          </w:p>
        </w:tc>
        <w:tc>
          <w:tcPr>
            <w:tcW w:w="1581" w:type="dxa"/>
            <w:noWrap w:val="0"/>
            <w:vAlign w:val="center"/>
          </w:tcPr>
          <w:p w14:paraId="4B0C5920">
            <w:pPr>
              <w:pStyle w:val="104"/>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01489E5A">
            <w:pPr>
              <w:pStyle w:val="104"/>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08D47A76">
            <w:pPr>
              <w:pStyle w:val="104"/>
              <w:snapToGrid w:val="0"/>
              <w:rPr>
                <w:rFonts w:ascii="宋体" w:hAnsi="宋体"/>
                <w:color w:val="000000"/>
                <w:sz w:val="24"/>
                <w:highlight w:val="none"/>
              </w:rPr>
            </w:pPr>
          </w:p>
        </w:tc>
        <w:tc>
          <w:tcPr>
            <w:tcW w:w="1190" w:type="dxa"/>
            <w:noWrap w:val="0"/>
            <w:vAlign w:val="center"/>
          </w:tcPr>
          <w:p w14:paraId="49D7EF8E">
            <w:pPr>
              <w:pStyle w:val="104"/>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6014B66">
            <w:pPr>
              <w:pStyle w:val="104"/>
              <w:snapToGrid w:val="0"/>
              <w:rPr>
                <w:rFonts w:ascii="宋体" w:hAnsi="宋体"/>
                <w:color w:val="000000"/>
                <w:sz w:val="24"/>
                <w:highlight w:val="none"/>
              </w:rPr>
            </w:pPr>
          </w:p>
        </w:tc>
        <w:tc>
          <w:tcPr>
            <w:tcW w:w="1191" w:type="dxa"/>
            <w:noWrap w:val="0"/>
            <w:vAlign w:val="center"/>
          </w:tcPr>
          <w:p w14:paraId="4C75A2FF">
            <w:pPr>
              <w:pStyle w:val="104"/>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0B4BEAB8">
            <w:pPr>
              <w:pStyle w:val="104"/>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0A3A9F2F">
            <w:pPr>
              <w:pStyle w:val="104"/>
              <w:snapToGrid w:val="0"/>
              <w:rPr>
                <w:rFonts w:ascii="宋体" w:hAnsi="宋体"/>
                <w:color w:val="000000"/>
                <w:sz w:val="24"/>
                <w:highlight w:val="none"/>
              </w:rPr>
            </w:pPr>
            <w:r>
              <w:rPr>
                <w:rFonts w:ascii="宋体" w:hAnsi="宋体"/>
                <w:color w:val="000000"/>
                <w:sz w:val="24"/>
                <w:highlight w:val="none"/>
              </w:rPr>
              <w:t>　</w:t>
            </w:r>
          </w:p>
        </w:tc>
      </w:tr>
      <w:tr w14:paraId="287AD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4E6BB381">
            <w:pPr>
              <w:pStyle w:val="104"/>
              <w:snapToGrid w:val="0"/>
              <w:jc w:val="center"/>
              <w:rPr>
                <w:rFonts w:ascii="宋体" w:hAnsi="宋体"/>
                <w:color w:val="000000"/>
                <w:sz w:val="24"/>
                <w:highlight w:val="none"/>
              </w:rPr>
            </w:pPr>
            <w:r>
              <w:rPr>
                <w:rFonts w:ascii="宋体" w:hAnsi="宋体"/>
                <w:color w:val="000000"/>
                <w:sz w:val="24"/>
                <w:highlight w:val="none"/>
              </w:rPr>
              <w:t>2</w:t>
            </w:r>
          </w:p>
        </w:tc>
        <w:tc>
          <w:tcPr>
            <w:tcW w:w="1581" w:type="dxa"/>
            <w:noWrap w:val="0"/>
            <w:vAlign w:val="center"/>
          </w:tcPr>
          <w:p w14:paraId="4E9112CB">
            <w:pPr>
              <w:pStyle w:val="104"/>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6777ED0B">
            <w:pPr>
              <w:pStyle w:val="104"/>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591E332">
            <w:pPr>
              <w:pStyle w:val="104"/>
              <w:snapToGrid w:val="0"/>
              <w:rPr>
                <w:rFonts w:ascii="宋体" w:hAnsi="宋体"/>
                <w:color w:val="000000"/>
                <w:sz w:val="24"/>
                <w:highlight w:val="none"/>
              </w:rPr>
            </w:pPr>
          </w:p>
        </w:tc>
        <w:tc>
          <w:tcPr>
            <w:tcW w:w="1190" w:type="dxa"/>
            <w:noWrap w:val="0"/>
            <w:vAlign w:val="center"/>
          </w:tcPr>
          <w:p w14:paraId="1CA10984">
            <w:pPr>
              <w:pStyle w:val="104"/>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C499B77">
            <w:pPr>
              <w:pStyle w:val="104"/>
              <w:snapToGrid w:val="0"/>
              <w:rPr>
                <w:rFonts w:ascii="宋体" w:hAnsi="宋体"/>
                <w:color w:val="000000"/>
                <w:sz w:val="24"/>
                <w:highlight w:val="none"/>
              </w:rPr>
            </w:pPr>
          </w:p>
        </w:tc>
        <w:tc>
          <w:tcPr>
            <w:tcW w:w="1191" w:type="dxa"/>
            <w:noWrap w:val="0"/>
            <w:vAlign w:val="center"/>
          </w:tcPr>
          <w:p w14:paraId="18C6BAE5">
            <w:pPr>
              <w:pStyle w:val="104"/>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CB21B5E">
            <w:pPr>
              <w:pStyle w:val="104"/>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1F7F1713">
            <w:pPr>
              <w:pStyle w:val="104"/>
              <w:snapToGrid w:val="0"/>
              <w:rPr>
                <w:rFonts w:ascii="宋体" w:hAnsi="宋体"/>
                <w:color w:val="000000"/>
                <w:sz w:val="24"/>
                <w:highlight w:val="none"/>
              </w:rPr>
            </w:pPr>
            <w:r>
              <w:rPr>
                <w:rFonts w:ascii="宋体" w:hAnsi="宋体"/>
                <w:color w:val="000000"/>
                <w:sz w:val="24"/>
                <w:highlight w:val="none"/>
              </w:rPr>
              <w:t>　</w:t>
            </w:r>
          </w:p>
        </w:tc>
      </w:tr>
      <w:tr w14:paraId="3EFAD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FCE3F97">
            <w:pPr>
              <w:pStyle w:val="104"/>
              <w:snapToGrid w:val="0"/>
              <w:jc w:val="center"/>
              <w:rPr>
                <w:rFonts w:ascii="宋体" w:hAnsi="宋体"/>
                <w:color w:val="000000"/>
                <w:sz w:val="24"/>
                <w:highlight w:val="none"/>
              </w:rPr>
            </w:pPr>
            <w:r>
              <w:rPr>
                <w:rFonts w:ascii="宋体" w:hAnsi="宋体"/>
                <w:color w:val="000000"/>
                <w:sz w:val="24"/>
                <w:highlight w:val="none"/>
              </w:rPr>
              <w:t>3</w:t>
            </w:r>
          </w:p>
        </w:tc>
        <w:tc>
          <w:tcPr>
            <w:tcW w:w="1581" w:type="dxa"/>
            <w:noWrap w:val="0"/>
            <w:vAlign w:val="center"/>
          </w:tcPr>
          <w:p w14:paraId="225792FF">
            <w:pPr>
              <w:pStyle w:val="104"/>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3756C2C9">
            <w:pPr>
              <w:pStyle w:val="104"/>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BBDE340">
            <w:pPr>
              <w:pStyle w:val="104"/>
              <w:snapToGrid w:val="0"/>
              <w:rPr>
                <w:rFonts w:ascii="宋体" w:hAnsi="宋体"/>
                <w:color w:val="000000"/>
                <w:sz w:val="24"/>
                <w:highlight w:val="none"/>
              </w:rPr>
            </w:pPr>
          </w:p>
        </w:tc>
        <w:tc>
          <w:tcPr>
            <w:tcW w:w="1190" w:type="dxa"/>
            <w:noWrap w:val="0"/>
            <w:vAlign w:val="center"/>
          </w:tcPr>
          <w:p w14:paraId="1B4D5124">
            <w:pPr>
              <w:pStyle w:val="104"/>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56059C49">
            <w:pPr>
              <w:pStyle w:val="104"/>
              <w:snapToGrid w:val="0"/>
              <w:rPr>
                <w:rFonts w:ascii="宋体" w:hAnsi="宋体"/>
                <w:color w:val="000000"/>
                <w:sz w:val="24"/>
                <w:highlight w:val="none"/>
              </w:rPr>
            </w:pPr>
          </w:p>
        </w:tc>
        <w:tc>
          <w:tcPr>
            <w:tcW w:w="1191" w:type="dxa"/>
            <w:noWrap w:val="0"/>
            <w:vAlign w:val="center"/>
          </w:tcPr>
          <w:p w14:paraId="22085D38">
            <w:pPr>
              <w:pStyle w:val="104"/>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6689C21">
            <w:pPr>
              <w:pStyle w:val="104"/>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5FC77F27">
            <w:pPr>
              <w:pStyle w:val="104"/>
              <w:snapToGrid w:val="0"/>
              <w:rPr>
                <w:rFonts w:ascii="宋体" w:hAnsi="宋体"/>
                <w:color w:val="000000"/>
                <w:sz w:val="24"/>
                <w:highlight w:val="none"/>
              </w:rPr>
            </w:pPr>
            <w:r>
              <w:rPr>
                <w:rFonts w:ascii="宋体" w:hAnsi="宋体"/>
                <w:color w:val="000000"/>
                <w:sz w:val="24"/>
                <w:highlight w:val="none"/>
              </w:rPr>
              <w:t>　</w:t>
            </w:r>
          </w:p>
        </w:tc>
      </w:tr>
      <w:tr w14:paraId="00979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7037B33F">
            <w:pPr>
              <w:pStyle w:val="104"/>
              <w:snapToGrid w:val="0"/>
              <w:jc w:val="center"/>
              <w:rPr>
                <w:rFonts w:ascii="宋体" w:hAnsi="宋体"/>
                <w:color w:val="000000"/>
                <w:sz w:val="24"/>
                <w:highlight w:val="none"/>
              </w:rPr>
            </w:pPr>
            <w:r>
              <w:rPr>
                <w:rFonts w:ascii="宋体" w:hAnsi="宋体"/>
                <w:color w:val="000000"/>
                <w:sz w:val="24"/>
                <w:highlight w:val="none"/>
              </w:rPr>
              <w:t>4</w:t>
            </w:r>
          </w:p>
        </w:tc>
        <w:tc>
          <w:tcPr>
            <w:tcW w:w="1581" w:type="dxa"/>
            <w:noWrap w:val="0"/>
            <w:vAlign w:val="center"/>
          </w:tcPr>
          <w:p w14:paraId="3D5E79E0">
            <w:pPr>
              <w:pStyle w:val="104"/>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5C48B41E">
            <w:pPr>
              <w:pStyle w:val="104"/>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15DB930B">
            <w:pPr>
              <w:pStyle w:val="104"/>
              <w:snapToGrid w:val="0"/>
              <w:rPr>
                <w:rFonts w:ascii="宋体" w:hAnsi="宋体"/>
                <w:color w:val="000000"/>
                <w:sz w:val="24"/>
                <w:highlight w:val="none"/>
              </w:rPr>
            </w:pPr>
          </w:p>
        </w:tc>
        <w:tc>
          <w:tcPr>
            <w:tcW w:w="1190" w:type="dxa"/>
            <w:noWrap w:val="0"/>
            <w:vAlign w:val="center"/>
          </w:tcPr>
          <w:p w14:paraId="7541610D">
            <w:pPr>
              <w:pStyle w:val="104"/>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C2A088E">
            <w:pPr>
              <w:pStyle w:val="104"/>
              <w:snapToGrid w:val="0"/>
              <w:rPr>
                <w:rFonts w:ascii="宋体" w:hAnsi="宋体"/>
                <w:color w:val="000000"/>
                <w:sz w:val="24"/>
                <w:highlight w:val="none"/>
              </w:rPr>
            </w:pPr>
          </w:p>
        </w:tc>
        <w:tc>
          <w:tcPr>
            <w:tcW w:w="1191" w:type="dxa"/>
            <w:noWrap w:val="0"/>
            <w:vAlign w:val="center"/>
          </w:tcPr>
          <w:p w14:paraId="64FDD51E">
            <w:pPr>
              <w:pStyle w:val="104"/>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2D1059B5">
            <w:pPr>
              <w:pStyle w:val="104"/>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4D3787E">
            <w:pPr>
              <w:pStyle w:val="104"/>
              <w:snapToGrid w:val="0"/>
              <w:rPr>
                <w:rFonts w:ascii="宋体" w:hAnsi="宋体"/>
                <w:color w:val="000000"/>
                <w:sz w:val="24"/>
                <w:highlight w:val="none"/>
              </w:rPr>
            </w:pPr>
            <w:r>
              <w:rPr>
                <w:rFonts w:ascii="宋体" w:hAnsi="宋体"/>
                <w:color w:val="000000"/>
                <w:sz w:val="24"/>
                <w:highlight w:val="none"/>
              </w:rPr>
              <w:t>　</w:t>
            </w:r>
          </w:p>
        </w:tc>
      </w:tr>
      <w:tr w14:paraId="18DBD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94265D">
            <w:pPr>
              <w:pStyle w:val="104"/>
              <w:snapToGrid w:val="0"/>
              <w:jc w:val="center"/>
              <w:rPr>
                <w:rFonts w:ascii="宋体" w:hAnsi="宋体"/>
                <w:color w:val="000000"/>
                <w:sz w:val="24"/>
                <w:highlight w:val="none"/>
              </w:rPr>
            </w:pPr>
            <w:r>
              <w:rPr>
                <w:rFonts w:ascii="宋体" w:hAnsi="宋体"/>
                <w:color w:val="000000"/>
                <w:sz w:val="24"/>
                <w:highlight w:val="none"/>
              </w:rPr>
              <w:t>5</w:t>
            </w:r>
          </w:p>
        </w:tc>
        <w:tc>
          <w:tcPr>
            <w:tcW w:w="1581" w:type="dxa"/>
            <w:noWrap w:val="0"/>
            <w:vAlign w:val="center"/>
          </w:tcPr>
          <w:p w14:paraId="0262589D">
            <w:pPr>
              <w:pStyle w:val="104"/>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2BF78018">
            <w:pPr>
              <w:pStyle w:val="104"/>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73E6D1D3">
            <w:pPr>
              <w:pStyle w:val="104"/>
              <w:snapToGrid w:val="0"/>
              <w:rPr>
                <w:rFonts w:ascii="宋体" w:hAnsi="宋体"/>
                <w:color w:val="000000"/>
                <w:sz w:val="24"/>
                <w:highlight w:val="none"/>
              </w:rPr>
            </w:pPr>
          </w:p>
        </w:tc>
        <w:tc>
          <w:tcPr>
            <w:tcW w:w="1190" w:type="dxa"/>
            <w:noWrap w:val="0"/>
            <w:vAlign w:val="center"/>
          </w:tcPr>
          <w:p w14:paraId="07D46167">
            <w:pPr>
              <w:pStyle w:val="104"/>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F3D977A">
            <w:pPr>
              <w:pStyle w:val="104"/>
              <w:snapToGrid w:val="0"/>
              <w:rPr>
                <w:rFonts w:ascii="宋体" w:hAnsi="宋体"/>
                <w:color w:val="000000"/>
                <w:sz w:val="24"/>
                <w:highlight w:val="none"/>
              </w:rPr>
            </w:pPr>
          </w:p>
        </w:tc>
        <w:tc>
          <w:tcPr>
            <w:tcW w:w="1191" w:type="dxa"/>
            <w:noWrap w:val="0"/>
            <w:vAlign w:val="center"/>
          </w:tcPr>
          <w:p w14:paraId="532C9FA7">
            <w:pPr>
              <w:pStyle w:val="104"/>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E01761C">
            <w:pPr>
              <w:pStyle w:val="104"/>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019EBC8">
            <w:pPr>
              <w:pStyle w:val="104"/>
              <w:snapToGrid w:val="0"/>
              <w:rPr>
                <w:rFonts w:ascii="宋体" w:hAnsi="宋体"/>
                <w:color w:val="000000"/>
                <w:sz w:val="24"/>
                <w:highlight w:val="none"/>
              </w:rPr>
            </w:pPr>
            <w:r>
              <w:rPr>
                <w:rFonts w:ascii="宋体" w:hAnsi="宋体"/>
                <w:color w:val="000000"/>
                <w:sz w:val="24"/>
                <w:highlight w:val="none"/>
              </w:rPr>
              <w:t>　</w:t>
            </w:r>
          </w:p>
        </w:tc>
      </w:tr>
      <w:tr w14:paraId="16D5E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495364F">
            <w:pPr>
              <w:pStyle w:val="104"/>
              <w:snapToGrid w:val="0"/>
              <w:jc w:val="center"/>
              <w:rPr>
                <w:rFonts w:ascii="宋体" w:hAnsi="宋体"/>
                <w:color w:val="000000"/>
                <w:sz w:val="24"/>
                <w:highlight w:val="none"/>
              </w:rPr>
            </w:pPr>
            <w:r>
              <w:rPr>
                <w:rFonts w:ascii="宋体" w:hAnsi="宋体"/>
                <w:color w:val="000000"/>
                <w:sz w:val="24"/>
                <w:highlight w:val="none"/>
              </w:rPr>
              <w:t>...</w:t>
            </w:r>
          </w:p>
        </w:tc>
        <w:tc>
          <w:tcPr>
            <w:tcW w:w="1581" w:type="dxa"/>
            <w:noWrap w:val="0"/>
            <w:vAlign w:val="center"/>
          </w:tcPr>
          <w:p w14:paraId="3AECFF4F">
            <w:pPr>
              <w:pStyle w:val="104"/>
              <w:snapToGrid w:val="0"/>
              <w:rPr>
                <w:rFonts w:ascii="宋体" w:hAnsi="宋体"/>
                <w:color w:val="000000"/>
                <w:sz w:val="24"/>
                <w:highlight w:val="none"/>
              </w:rPr>
            </w:pPr>
          </w:p>
        </w:tc>
        <w:tc>
          <w:tcPr>
            <w:tcW w:w="903" w:type="dxa"/>
            <w:noWrap w:val="0"/>
            <w:vAlign w:val="center"/>
          </w:tcPr>
          <w:p w14:paraId="601FDC5C">
            <w:pPr>
              <w:pStyle w:val="104"/>
              <w:snapToGrid w:val="0"/>
              <w:rPr>
                <w:rFonts w:ascii="宋体" w:hAnsi="宋体"/>
                <w:color w:val="000000"/>
                <w:sz w:val="24"/>
                <w:highlight w:val="none"/>
              </w:rPr>
            </w:pPr>
          </w:p>
        </w:tc>
        <w:tc>
          <w:tcPr>
            <w:tcW w:w="720" w:type="dxa"/>
            <w:noWrap w:val="0"/>
            <w:vAlign w:val="center"/>
          </w:tcPr>
          <w:p w14:paraId="410F0660">
            <w:pPr>
              <w:pStyle w:val="104"/>
              <w:snapToGrid w:val="0"/>
              <w:rPr>
                <w:rFonts w:ascii="宋体" w:hAnsi="宋体"/>
                <w:color w:val="000000"/>
                <w:sz w:val="24"/>
                <w:highlight w:val="none"/>
              </w:rPr>
            </w:pPr>
          </w:p>
        </w:tc>
        <w:tc>
          <w:tcPr>
            <w:tcW w:w="1190" w:type="dxa"/>
            <w:noWrap w:val="0"/>
            <w:vAlign w:val="center"/>
          </w:tcPr>
          <w:p w14:paraId="32C39C4D">
            <w:pPr>
              <w:pStyle w:val="104"/>
              <w:snapToGrid w:val="0"/>
              <w:rPr>
                <w:rFonts w:ascii="宋体" w:hAnsi="宋体"/>
                <w:color w:val="000000"/>
                <w:sz w:val="24"/>
                <w:highlight w:val="none"/>
              </w:rPr>
            </w:pPr>
          </w:p>
        </w:tc>
        <w:tc>
          <w:tcPr>
            <w:tcW w:w="1366" w:type="dxa"/>
            <w:noWrap w:val="0"/>
            <w:vAlign w:val="center"/>
          </w:tcPr>
          <w:p w14:paraId="44908DEF">
            <w:pPr>
              <w:pStyle w:val="104"/>
              <w:snapToGrid w:val="0"/>
              <w:rPr>
                <w:rFonts w:ascii="宋体" w:hAnsi="宋体"/>
                <w:color w:val="000000"/>
                <w:sz w:val="24"/>
                <w:highlight w:val="none"/>
              </w:rPr>
            </w:pPr>
          </w:p>
        </w:tc>
        <w:tc>
          <w:tcPr>
            <w:tcW w:w="1191" w:type="dxa"/>
            <w:noWrap w:val="0"/>
            <w:vAlign w:val="center"/>
          </w:tcPr>
          <w:p w14:paraId="2A053544">
            <w:pPr>
              <w:pStyle w:val="104"/>
              <w:snapToGrid w:val="0"/>
              <w:rPr>
                <w:rFonts w:ascii="宋体" w:hAnsi="宋体"/>
                <w:color w:val="000000"/>
                <w:sz w:val="24"/>
                <w:highlight w:val="none"/>
              </w:rPr>
            </w:pPr>
          </w:p>
        </w:tc>
        <w:tc>
          <w:tcPr>
            <w:tcW w:w="999" w:type="dxa"/>
            <w:noWrap w:val="0"/>
            <w:vAlign w:val="center"/>
          </w:tcPr>
          <w:p w14:paraId="5E24F640">
            <w:pPr>
              <w:pStyle w:val="104"/>
              <w:snapToGrid w:val="0"/>
              <w:rPr>
                <w:rFonts w:ascii="宋体" w:hAnsi="宋体"/>
                <w:color w:val="000000"/>
                <w:sz w:val="24"/>
                <w:highlight w:val="none"/>
              </w:rPr>
            </w:pPr>
          </w:p>
        </w:tc>
        <w:tc>
          <w:tcPr>
            <w:tcW w:w="1221" w:type="dxa"/>
            <w:noWrap w:val="0"/>
            <w:vAlign w:val="center"/>
          </w:tcPr>
          <w:p w14:paraId="49A6A012">
            <w:pPr>
              <w:pStyle w:val="104"/>
              <w:snapToGrid w:val="0"/>
              <w:rPr>
                <w:rFonts w:ascii="宋体" w:hAnsi="宋体"/>
                <w:color w:val="000000"/>
                <w:sz w:val="24"/>
                <w:highlight w:val="none"/>
              </w:rPr>
            </w:pPr>
          </w:p>
        </w:tc>
      </w:tr>
    </w:tbl>
    <w:p w14:paraId="62E0AC30">
      <w:pPr>
        <w:pStyle w:val="104"/>
        <w:snapToGrid/>
        <w:rPr>
          <w:rFonts w:ascii="宋体" w:hAnsi="宋体"/>
          <w:color w:val="000000"/>
          <w:highlight w:val="none"/>
        </w:rPr>
      </w:pPr>
    </w:p>
    <w:p w14:paraId="7503286F">
      <w:pPr>
        <w:pStyle w:val="104"/>
        <w:snapToGrid w:val="0"/>
        <w:rPr>
          <w:rFonts w:ascii="宋体" w:hAnsi="宋体"/>
          <w:color w:val="000000"/>
          <w:sz w:val="24"/>
          <w:highlight w:val="none"/>
        </w:rPr>
      </w:pPr>
      <w:r>
        <w:rPr>
          <w:rFonts w:ascii="宋体" w:hAnsi="宋体"/>
          <w:color w:val="000000"/>
          <w:sz w:val="24"/>
          <w:highlight w:val="none"/>
        </w:rPr>
        <w:t xml:space="preserve">  </w:t>
      </w:r>
    </w:p>
    <w:p w14:paraId="3E5E583F">
      <w:pPr>
        <w:pStyle w:val="112"/>
        <w:snapToGrid w:val="0"/>
        <w:ind w:left="400" w:firstLine="3120" w:firstLineChars="1300"/>
        <w:rPr>
          <w:rFonts w:ascii="宋体" w:hAnsi="宋体"/>
          <w:color w:val="000000"/>
          <w:sz w:val="24"/>
          <w:szCs w:val="24"/>
          <w:highlight w:val="none"/>
        </w:rPr>
      </w:pPr>
    </w:p>
    <w:p w14:paraId="44209FD7">
      <w:pPr>
        <w:pStyle w:val="104"/>
        <w:snapToGrid/>
        <w:rPr>
          <w:rFonts w:ascii="宋体" w:hAnsi="宋体"/>
          <w:color w:val="000000"/>
          <w:szCs w:val="21"/>
          <w:highlight w:val="none"/>
        </w:rPr>
      </w:pPr>
    </w:p>
    <w:p w14:paraId="0E189E8D">
      <w:pPr>
        <w:pStyle w:val="104"/>
        <w:snapToGrid/>
        <w:rPr>
          <w:rFonts w:ascii="宋体" w:hAnsi="宋体"/>
          <w:color w:val="000000"/>
          <w:szCs w:val="21"/>
          <w:highlight w:val="none"/>
        </w:rPr>
      </w:pPr>
    </w:p>
    <w:p w14:paraId="0C9347D8">
      <w:pPr>
        <w:pStyle w:val="104"/>
        <w:snapToGrid/>
        <w:spacing w:line="480" w:lineRule="auto"/>
        <w:jc w:val="both"/>
        <w:rPr>
          <w:rFonts w:ascii="宋体" w:hAnsi="宋体"/>
          <w:color w:val="000000"/>
          <w:sz w:val="24"/>
          <w:highlight w:val="none"/>
        </w:rPr>
      </w:pPr>
      <w:r>
        <w:rPr>
          <w:rFonts w:ascii="宋体" w:hAnsi="宋体"/>
          <w:color w:val="000000"/>
          <w:sz w:val="24"/>
          <w:highlight w:val="none"/>
        </w:rPr>
        <w:t>供应商（盖单位公章）</w:t>
      </w:r>
    </w:p>
    <w:p w14:paraId="60BE0863">
      <w:pPr>
        <w:pStyle w:val="104"/>
        <w:snapToGrid/>
        <w:spacing w:line="480" w:lineRule="auto"/>
        <w:jc w:val="center"/>
        <w:rPr>
          <w:rFonts w:ascii="宋体" w:hAnsi="宋体"/>
          <w:color w:val="000000"/>
          <w:sz w:val="24"/>
          <w:highlight w:val="none"/>
        </w:rPr>
      </w:pPr>
    </w:p>
    <w:p w14:paraId="03865938">
      <w:pPr>
        <w:pStyle w:val="104"/>
        <w:snapToGrid/>
        <w:spacing w:line="480" w:lineRule="auto"/>
        <w:jc w:val="both"/>
        <w:rPr>
          <w:rFonts w:ascii="宋体" w:hAnsi="宋体"/>
          <w:color w:val="000000"/>
          <w:sz w:val="24"/>
          <w:highlight w:val="none"/>
        </w:rPr>
      </w:pPr>
      <w:r>
        <w:rPr>
          <w:rFonts w:ascii="宋体" w:hAnsi="宋体"/>
          <w:color w:val="000000"/>
          <w:sz w:val="24"/>
          <w:highlight w:val="none"/>
        </w:rPr>
        <w:t>法定代表人或其委托代理人（签字）</w:t>
      </w:r>
    </w:p>
    <w:p w14:paraId="6B8CD417">
      <w:pPr>
        <w:pStyle w:val="104"/>
        <w:snapToGrid/>
        <w:rPr>
          <w:rFonts w:ascii="宋体" w:hAnsi="宋体"/>
          <w:color w:val="000000"/>
          <w:highlight w:val="none"/>
        </w:rPr>
      </w:pPr>
    </w:p>
    <w:p w14:paraId="30D5AF6C">
      <w:pPr>
        <w:pStyle w:val="104"/>
        <w:snapToGrid/>
        <w:spacing w:line="480" w:lineRule="auto"/>
        <w:ind w:left="1000" w:hanging="1050" w:hangingChars="500"/>
        <w:jc w:val="center"/>
        <w:rPr>
          <w:rFonts w:ascii="宋体" w:hAnsi="宋体"/>
          <w:color w:val="000000"/>
          <w:sz w:val="24"/>
          <w:highlight w:val="none"/>
        </w:rPr>
      </w:pPr>
      <w:r>
        <w:rPr>
          <w:rFonts w:ascii="宋体" w:hAnsi="宋体"/>
          <w:color w:val="000000"/>
          <w:highlight w:val="none"/>
        </w:rPr>
        <w:t xml:space="preserve">                                        </w:t>
      </w:r>
      <w:r>
        <w:rPr>
          <w:rFonts w:ascii="宋体" w:hAnsi="宋体"/>
          <w:color w:val="000000"/>
          <w:sz w:val="24"/>
          <w:highlight w:val="none"/>
        </w:rPr>
        <w:t>年     月     日</w:t>
      </w:r>
    </w:p>
    <w:p w14:paraId="16AED8E0">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b/>
          <w:color w:val="000000"/>
          <w:sz w:val="30"/>
          <w:szCs w:val="30"/>
          <w:highlight w:val="none"/>
          <w:lang w:val="en-US" w:eastAsia="zh-CN" w:bidi="ar-SA"/>
        </w:rPr>
      </w:pPr>
      <w:r>
        <w:rPr>
          <w:rFonts w:ascii="宋体" w:hAnsi="宋体"/>
          <w:color w:val="000000"/>
          <w:sz w:val="24"/>
          <w:highlight w:val="none"/>
        </w:rPr>
        <w:br w:type="page"/>
      </w:r>
      <w:r>
        <w:rPr>
          <w:rFonts w:ascii="宋体" w:hAnsi="宋体" w:eastAsia="宋体"/>
          <w:b/>
          <w:color w:val="000000"/>
          <w:sz w:val="30"/>
          <w:szCs w:val="30"/>
          <w:highlight w:val="none"/>
          <w:lang w:val="en-US" w:eastAsia="zh-CN" w:bidi="ar-SA"/>
        </w:rPr>
        <w:t>关于符合本国产品标准的声明函</w:t>
      </w:r>
    </w:p>
    <w:p w14:paraId="1D69075A">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b/>
          <w:color w:val="000000"/>
          <w:sz w:val="30"/>
          <w:szCs w:val="30"/>
          <w:highlight w:val="none"/>
          <w:lang w:val="en-US" w:eastAsia="zh-CN" w:bidi="ar-SA"/>
        </w:rPr>
      </w:pPr>
    </w:p>
    <w:p w14:paraId="1B29482F">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本公司（单位）郑重声明，根据《国务院办公厅关于在政府采购中实施本国产品标准及相关政策的通知》（国办发〔2025〕34号）的规定，本公司（单位）提供的以下产品属于本国产品。具体情况如下：</w:t>
      </w:r>
    </w:p>
    <w:p w14:paraId="5D15F776">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w:t>
      </w:r>
      <w:r>
        <w:rPr>
          <w:rStyle w:val="108"/>
          <w:rFonts w:ascii="宋体" w:hAnsi="宋体" w:eastAsia="宋体"/>
          <w:i w:val="0"/>
          <w:iCs w:val="0"/>
          <w:caps w:val="0"/>
          <w:color w:val="333333"/>
          <w:spacing w:val="0"/>
          <w:sz w:val="24"/>
          <w:szCs w:val="24"/>
          <w:shd w:val="clear" w:color="FFFFFF" w:fill="FFFFFF"/>
        </w:rPr>
        <w:t>（产品名称1）</w:t>
      </w:r>
      <w:r>
        <w:rPr>
          <w:rStyle w:val="108"/>
          <w:rFonts w:ascii="宋体" w:hAnsi="宋体" w:eastAsia="宋体"/>
          <w:i w:val="0"/>
          <w:iCs w:val="0"/>
          <w:caps w:val="0"/>
          <w:color w:val="333333"/>
          <w:spacing w:val="0"/>
          <w:sz w:val="24"/>
          <w:szCs w:val="24"/>
          <w:shd w:val="clear" w:color="FFFFFF" w:fill="FFFFFF"/>
          <w:vertAlign w:val="superscript"/>
        </w:rPr>
        <w:t>1</w:t>
      </w:r>
      <w:r>
        <w:rPr>
          <w:rFonts w:ascii="宋体" w:hAnsi="宋体" w:eastAsia="宋体"/>
          <w:i w:val="0"/>
          <w:iCs w:val="0"/>
          <w:caps w:val="0"/>
          <w:color w:val="333333"/>
          <w:spacing w:val="0"/>
          <w:sz w:val="24"/>
          <w:szCs w:val="24"/>
          <w:shd w:val="clear" w:color="FFFFFF" w:fill="FFFFFF"/>
        </w:rPr>
        <w:t>，生产厂为</w:t>
      </w:r>
      <w:r>
        <w:rPr>
          <w:rStyle w:val="108"/>
          <w:rFonts w:ascii="宋体" w:hAnsi="宋体" w:eastAsia="宋体"/>
          <w:i w:val="0"/>
          <w:iCs w:val="0"/>
          <w:caps w:val="0"/>
          <w:color w:val="333333"/>
          <w:spacing w:val="0"/>
          <w:sz w:val="24"/>
          <w:szCs w:val="24"/>
          <w:shd w:val="clear" w:color="FFFFFF" w:fill="FFFFFF"/>
        </w:rPr>
        <w:t>（厂名）</w:t>
      </w:r>
      <w:r>
        <w:rPr>
          <w:rStyle w:val="108"/>
          <w:rFonts w:ascii="宋体" w:hAnsi="宋体" w:eastAsia="宋体"/>
          <w:i w:val="0"/>
          <w:iCs w:val="0"/>
          <w:caps w:val="0"/>
          <w:color w:val="333333"/>
          <w:spacing w:val="0"/>
          <w:sz w:val="24"/>
          <w:szCs w:val="24"/>
          <w:shd w:val="clear" w:color="FFFFFF" w:fill="FFFFFF"/>
          <w:vertAlign w:val="superscript"/>
        </w:rPr>
        <w:t>2</w:t>
      </w:r>
      <w:r>
        <w:rPr>
          <w:rFonts w:ascii="宋体" w:hAnsi="宋体" w:eastAsia="宋体"/>
          <w:i w:val="0"/>
          <w:iCs w:val="0"/>
          <w:caps w:val="0"/>
          <w:color w:val="333333"/>
          <w:spacing w:val="0"/>
          <w:sz w:val="24"/>
          <w:szCs w:val="24"/>
          <w:shd w:val="clear" w:color="FFFFFF" w:fill="FFFFFF"/>
        </w:rPr>
        <w:t>，厂址为</w:t>
      </w:r>
      <w:r>
        <w:rPr>
          <w:rStyle w:val="108"/>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08"/>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的中国境内生产的组件成本占比≥</w:t>
      </w:r>
      <w:r>
        <w:rPr>
          <w:rStyle w:val="108"/>
          <w:rFonts w:ascii="宋体" w:hAnsi="宋体" w:eastAsia="宋体"/>
          <w:i w:val="0"/>
          <w:iCs w:val="0"/>
          <w:caps w:val="0"/>
          <w:color w:val="333333"/>
          <w:spacing w:val="0"/>
          <w:sz w:val="24"/>
          <w:szCs w:val="24"/>
          <w:shd w:val="clear" w:color="FFFFFF" w:fill="FFFFFF"/>
        </w:rPr>
        <w:t>（规定比例）</w:t>
      </w:r>
      <w:r>
        <w:rPr>
          <w:rStyle w:val="108"/>
          <w:rFonts w:ascii="宋体" w:hAnsi="宋体" w:eastAsia="宋体"/>
          <w:i w:val="0"/>
          <w:iCs w:val="0"/>
          <w:caps w:val="0"/>
          <w:color w:val="333333"/>
          <w:spacing w:val="0"/>
          <w:sz w:val="24"/>
          <w:szCs w:val="24"/>
          <w:shd w:val="clear" w:color="FFFFFF" w:fill="FFFFFF"/>
          <w:vertAlign w:val="superscript"/>
        </w:rPr>
        <w:t>3</w:t>
      </w:r>
      <w:r>
        <w:rPr>
          <w:rFonts w:ascii="宋体" w:hAnsi="宋体" w:eastAsia="宋体"/>
          <w:i w:val="0"/>
          <w:iCs w:val="0"/>
          <w:caps w:val="0"/>
          <w:color w:val="333333"/>
          <w:spacing w:val="0"/>
          <w:sz w:val="24"/>
          <w:szCs w:val="24"/>
          <w:shd w:val="clear" w:color="FFFFFF" w:fill="FFFFFF"/>
        </w:rPr>
        <w:t>。</w:t>
      </w:r>
      <w:r>
        <w:rPr>
          <w:rStyle w:val="108"/>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08"/>
          <w:rFonts w:ascii="宋体" w:hAnsi="宋体" w:eastAsia="宋体"/>
          <w:i w:val="0"/>
          <w:iCs w:val="0"/>
          <w:caps w:val="0"/>
          <w:color w:val="333333"/>
          <w:spacing w:val="0"/>
          <w:sz w:val="24"/>
          <w:szCs w:val="24"/>
          <w:shd w:val="clear" w:color="FFFFFF" w:fill="FFFFFF"/>
        </w:rPr>
        <w:t>（关键组件）</w:t>
      </w:r>
      <w:r>
        <w:rPr>
          <w:rStyle w:val="108"/>
          <w:rFonts w:ascii="宋体" w:hAnsi="宋体" w:eastAsia="宋体"/>
          <w:i w:val="0"/>
          <w:iCs w:val="0"/>
          <w:caps w:val="0"/>
          <w:color w:val="333333"/>
          <w:spacing w:val="0"/>
          <w:sz w:val="24"/>
          <w:szCs w:val="24"/>
          <w:shd w:val="clear" w:color="FFFFFF" w:fill="FFFFFF"/>
          <w:vertAlign w:val="superscript"/>
        </w:rPr>
        <w:t>4</w:t>
      </w:r>
      <w:r>
        <w:rPr>
          <w:rFonts w:ascii="宋体" w:hAnsi="宋体" w:eastAsia="宋体"/>
          <w:i w:val="0"/>
          <w:iCs w:val="0"/>
          <w:caps w:val="0"/>
          <w:color w:val="333333"/>
          <w:spacing w:val="0"/>
          <w:sz w:val="24"/>
          <w:szCs w:val="24"/>
          <w:shd w:val="clear" w:color="FFFFFF" w:fill="FFFFFF"/>
        </w:rPr>
        <w:t>在中国境内生产。</w:t>
      </w:r>
      <w:r>
        <w:rPr>
          <w:rStyle w:val="108"/>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08"/>
          <w:rFonts w:ascii="宋体" w:hAnsi="宋体" w:eastAsia="宋体"/>
          <w:i w:val="0"/>
          <w:iCs w:val="0"/>
          <w:caps w:val="0"/>
          <w:color w:val="333333"/>
          <w:spacing w:val="0"/>
          <w:sz w:val="24"/>
          <w:szCs w:val="24"/>
          <w:shd w:val="clear" w:color="FFFFFF" w:fill="FFFFFF"/>
        </w:rPr>
        <w:t>（关键工序）</w:t>
      </w:r>
      <w:r>
        <w:rPr>
          <w:rStyle w:val="108"/>
          <w:rFonts w:ascii="宋体" w:hAnsi="宋体" w:eastAsia="宋体"/>
          <w:i w:val="0"/>
          <w:iCs w:val="0"/>
          <w:caps w:val="0"/>
          <w:color w:val="333333"/>
          <w:spacing w:val="0"/>
          <w:sz w:val="24"/>
          <w:szCs w:val="24"/>
          <w:shd w:val="clear" w:color="FFFFFF" w:fill="FFFFFF"/>
          <w:vertAlign w:val="superscript"/>
        </w:rPr>
        <w:t>5</w:t>
      </w:r>
      <w:r>
        <w:rPr>
          <w:rFonts w:ascii="宋体" w:hAnsi="宋体" w:eastAsia="宋体"/>
          <w:i w:val="0"/>
          <w:iCs w:val="0"/>
          <w:caps w:val="0"/>
          <w:color w:val="333333"/>
          <w:spacing w:val="0"/>
          <w:sz w:val="24"/>
          <w:szCs w:val="24"/>
          <w:shd w:val="clear" w:color="FFFFFF" w:fill="FFFFFF"/>
        </w:rPr>
        <w:t>在中国境内完成。</w:t>
      </w:r>
    </w:p>
    <w:p w14:paraId="1E1A8F1E">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w:t>
      </w:r>
      <w:r>
        <w:rPr>
          <w:rStyle w:val="108"/>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，生产厂为</w:t>
      </w:r>
      <w:r>
        <w:rPr>
          <w:rStyle w:val="108"/>
          <w:rFonts w:ascii="宋体" w:hAnsi="宋体" w:eastAsia="宋体"/>
          <w:i w:val="0"/>
          <w:iCs w:val="0"/>
          <w:caps w:val="0"/>
          <w:color w:val="333333"/>
          <w:spacing w:val="0"/>
          <w:sz w:val="24"/>
          <w:szCs w:val="24"/>
          <w:shd w:val="clear" w:color="FFFFFF" w:fill="FFFFFF"/>
        </w:rPr>
        <w:t>（厂名）</w:t>
      </w:r>
      <w:r>
        <w:rPr>
          <w:rFonts w:ascii="宋体" w:hAnsi="宋体" w:eastAsia="宋体"/>
          <w:i w:val="0"/>
          <w:iCs w:val="0"/>
          <w:caps w:val="0"/>
          <w:color w:val="333333"/>
          <w:spacing w:val="0"/>
          <w:sz w:val="24"/>
          <w:szCs w:val="24"/>
          <w:shd w:val="clear" w:color="FFFFFF" w:fill="FFFFFF"/>
        </w:rPr>
        <w:t>，厂址为</w:t>
      </w:r>
      <w:r>
        <w:rPr>
          <w:rStyle w:val="108"/>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08"/>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的中国境内生产的组件成本占比≥</w:t>
      </w:r>
      <w:r>
        <w:rPr>
          <w:rStyle w:val="108"/>
          <w:rFonts w:ascii="宋体" w:hAnsi="宋体" w:eastAsia="宋体"/>
          <w:i w:val="0"/>
          <w:iCs w:val="0"/>
          <w:caps w:val="0"/>
          <w:color w:val="333333"/>
          <w:spacing w:val="0"/>
          <w:sz w:val="24"/>
          <w:szCs w:val="24"/>
          <w:shd w:val="clear" w:color="FFFFFF" w:fill="FFFFFF"/>
        </w:rPr>
        <w:t>（规定比例）</w:t>
      </w:r>
      <w:r>
        <w:rPr>
          <w:rFonts w:ascii="宋体" w:hAnsi="宋体" w:eastAsia="宋体"/>
          <w:i w:val="0"/>
          <w:iCs w:val="0"/>
          <w:caps w:val="0"/>
          <w:color w:val="333333"/>
          <w:spacing w:val="0"/>
          <w:sz w:val="24"/>
          <w:szCs w:val="24"/>
          <w:shd w:val="clear" w:color="FFFFFF" w:fill="FFFFFF"/>
        </w:rPr>
        <w:t>。</w:t>
      </w:r>
      <w:r>
        <w:rPr>
          <w:rStyle w:val="108"/>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08"/>
          <w:rFonts w:ascii="宋体" w:hAnsi="宋体" w:eastAsia="宋体"/>
          <w:i w:val="0"/>
          <w:iCs w:val="0"/>
          <w:caps w:val="0"/>
          <w:color w:val="333333"/>
          <w:spacing w:val="0"/>
          <w:sz w:val="24"/>
          <w:szCs w:val="24"/>
          <w:shd w:val="clear" w:color="FFFFFF" w:fill="FFFFFF"/>
        </w:rPr>
        <w:t>（关键组件）</w:t>
      </w:r>
      <w:r>
        <w:rPr>
          <w:rFonts w:ascii="宋体" w:hAnsi="宋体" w:eastAsia="宋体"/>
          <w:i w:val="0"/>
          <w:iCs w:val="0"/>
          <w:caps w:val="0"/>
          <w:color w:val="333333"/>
          <w:spacing w:val="0"/>
          <w:sz w:val="24"/>
          <w:szCs w:val="24"/>
          <w:shd w:val="clear" w:color="FFFFFF" w:fill="FFFFFF"/>
        </w:rPr>
        <w:t>在中国境内生产。</w:t>
      </w:r>
      <w:r>
        <w:rPr>
          <w:rStyle w:val="108"/>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08"/>
          <w:rFonts w:ascii="宋体" w:hAnsi="宋体" w:eastAsia="宋体"/>
          <w:i w:val="0"/>
          <w:iCs w:val="0"/>
          <w:caps w:val="0"/>
          <w:color w:val="333333"/>
          <w:spacing w:val="0"/>
          <w:sz w:val="24"/>
          <w:szCs w:val="24"/>
          <w:shd w:val="clear" w:color="FFFFFF" w:fill="FFFFFF"/>
        </w:rPr>
        <w:t>（关键工序）</w:t>
      </w:r>
      <w:r>
        <w:rPr>
          <w:rFonts w:ascii="宋体" w:hAnsi="宋体" w:eastAsia="宋体"/>
          <w:i w:val="0"/>
          <w:iCs w:val="0"/>
          <w:caps w:val="0"/>
          <w:color w:val="333333"/>
          <w:spacing w:val="0"/>
          <w:sz w:val="24"/>
          <w:szCs w:val="24"/>
          <w:shd w:val="clear" w:color="FFFFFF" w:fill="FFFFFF"/>
        </w:rPr>
        <w:t>在中国境内完成。</w:t>
      </w:r>
    </w:p>
    <w:p w14:paraId="2A8F0A17">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w:t>
      </w:r>
    </w:p>
    <w:p w14:paraId="649D6598">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本公司（单位）对上述声明内容的真实性负责。如有虚假，愿承担相应法律责任。</w:t>
      </w:r>
    </w:p>
    <w:p w14:paraId="5F368563">
      <w:pPr>
        <w:pStyle w:val="105"/>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公司（单位）名称（盖章）：      </w:t>
      </w:r>
    </w:p>
    <w:p w14:paraId="131CD6BF">
      <w:pPr>
        <w:pStyle w:val="104"/>
        <w:snapToGrid/>
        <w:spacing w:line="480" w:lineRule="auto"/>
        <w:ind w:left="1000" w:hanging="1200" w:hangingChars="500"/>
        <w:jc w:val="center"/>
        <w:rPr>
          <w:color w:val="000000"/>
          <w:highlight w:val="none"/>
        </w:rPr>
      </w:pPr>
      <w:r>
        <w:rPr>
          <w:rFonts w:ascii="宋体" w:hAnsi="宋体" w:eastAsia="宋体"/>
          <w:i w:val="0"/>
          <w:iCs w:val="0"/>
          <w:caps w:val="0"/>
          <w:color w:val="333333"/>
          <w:spacing w:val="0"/>
          <w:sz w:val="24"/>
          <w:szCs w:val="24"/>
          <w:shd w:val="clear" w:color="FFFFFF" w:fill="FFFFFF"/>
        </w:rPr>
        <w:t>日期：　　　　　年　　月　日</w:t>
      </w:r>
    </w:p>
    <w:p w14:paraId="71AD9510">
      <w:pPr>
        <w:pStyle w:val="104"/>
        <w:snapToGrid/>
        <w:spacing w:line="360" w:lineRule="auto"/>
        <w:ind w:left="1080" w:leftChars="257" w:hanging="540"/>
        <w:rPr>
          <w:rFonts w:ascii="宋体"/>
          <w:bCs/>
          <w:color w:val="000000"/>
          <w:sz w:val="24"/>
          <w:highlight w:val="none"/>
          <w:lang w:val="zh-CN"/>
        </w:rPr>
      </w:pPr>
    </w:p>
    <w:p w14:paraId="6436E279">
      <w:pPr>
        <w:pStyle w:val="104"/>
        <w:wordWrap w:val="0"/>
        <w:autoSpaceDE w:val="0"/>
        <w:autoSpaceDN w:val="0"/>
        <w:snapToGrid/>
        <w:spacing w:line="360" w:lineRule="auto"/>
        <w:jc w:val="center"/>
        <w:rPr>
          <w:rFonts w:ascii="宋体" w:hAnsi="宋体" w:eastAsia="宋体"/>
          <w:b/>
          <w:bCs/>
          <w:color w:val="000000"/>
          <w:sz w:val="22"/>
          <w:highlight w:val="none"/>
        </w:rPr>
      </w:pPr>
    </w:p>
    <w:p w14:paraId="2758BED2">
      <w:pPr>
        <w:autoSpaceDE w:val="0"/>
        <w:autoSpaceDN w:val="0"/>
        <w:adjustRightInd w:val="0"/>
        <w:snapToGrid w:val="0"/>
        <w:spacing w:line="520" w:lineRule="exact"/>
        <w:jc w:val="both"/>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br w:type="page"/>
      </w:r>
      <w:r>
        <w:rPr>
          <w:rFonts w:hint="eastAsia" w:ascii="宋体" w:hAnsi="宋体" w:eastAsia="宋体" w:cs="宋体"/>
          <w:b/>
          <w:color w:val="auto"/>
          <w:sz w:val="32"/>
          <w:szCs w:val="32"/>
          <w:highlight w:val="none"/>
          <w:lang w:val="zh-CN"/>
        </w:rPr>
        <w:t>第二部分  技术文件</w:t>
      </w:r>
    </w:p>
    <w:p w14:paraId="3FF02CDB">
      <w:pPr>
        <w:autoSpaceDE w:val="0"/>
        <w:autoSpaceDN w:val="0"/>
        <w:adjustRightInd w:val="0"/>
        <w:snapToGrid w:val="0"/>
        <w:spacing w:line="52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技术文件清单：</w:t>
      </w:r>
    </w:p>
    <w:tbl>
      <w:tblPr>
        <w:tblStyle w:val="33"/>
        <w:tblW w:w="0" w:type="auto"/>
        <w:jc w:val="center"/>
        <w:tblLayout w:type="fixed"/>
        <w:tblCellMar>
          <w:top w:w="0" w:type="dxa"/>
          <w:left w:w="108" w:type="dxa"/>
          <w:bottom w:w="0" w:type="dxa"/>
          <w:right w:w="108" w:type="dxa"/>
        </w:tblCellMar>
      </w:tblPr>
      <w:tblGrid>
        <w:gridCol w:w="710"/>
        <w:gridCol w:w="7080"/>
        <w:gridCol w:w="1656"/>
      </w:tblGrid>
      <w:tr w14:paraId="46CF65E2">
        <w:tblPrEx>
          <w:tblCellMar>
            <w:top w:w="0" w:type="dxa"/>
            <w:left w:w="108" w:type="dxa"/>
            <w:bottom w:w="0" w:type="dxa"/>
            <w:right w:w="108" w:type="dxa"/>
          </w:tblCellMar>
        </w:tblPrEx>
        <w:trPr>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7E69EE20">
            <w:pPr>
              <w:autoSpaceDE w:val="0"/>
              <w:autoSpaceDN w:val="0"/>
              <w:adjustRightInd w:val="0"/>
              <w:snapToGrid w:val="0"/>
              <w:spacing w:line="42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序号</w:t>
            </w:r>
          </w:p>
        </w:tc>
        <w:tc>
          <w:tcPr>
            <w:tcW w:w="7080" w:type="dxa"/>
            <w:tcBorders>
              <w:top w:val="single" w:color="auto" w:sz="6" w:space="0"/>
              <w:left w:val="single" w:color="auto" w:sz="6" w:space="0"/>
              <w:bottom w:val="single" w:color="auto" w:sz="6" w:space="0"/>
              <w:right w:val="single" w:color="auto" w:sz="6" w:space="0"/>
            </w:tcBorders>
            <w:noWrap w:val="0"/>
            <w:vAlign w:val="center"/>
          </w:tcPr>
          <w:p w14:paraId="79B77FED">
            <w:pPr>
              <w:autoSpaceDE w:val="0"/>
              <w:autoSpaceDN w:val="0"/>
              <w:adjustRightInd w:val="0"/>
              <w:snapToGrid w:val="0"/>
              <w:spacing w:line="42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技术文件名称及要求</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D71F81C">
            <w:pPr>
              <w:autoSpaceDE w:val="0"/>
              <w:autoSpaceDN w:val="0"/>
              <w:adjustRightInd w:val="0"/>
              <w:snapToGrid w:val="0"/>
              <w:spacing w:line="42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文件页码</w:t>
            </w:r>
          </w:p>
        </w:tc>
      </w:tr>
      <w:tr w14:paraId="3DF0B442">
        <w:tblPrEx>
          <w:tblCellMar>
            <w:top w:w="0" w:type="dxa"/>
            <w:left w:w="108" w:type="dxa"/>
            <w:bottom w:w="0" w:type="dxa"/>
            <w:right w:w="108" w:type="dxa"/>
          </w:tblCellMar>
        </w:tblPrEx>
        <w:trPr>
          <w:trHeight w:val="540"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64DB432E">
            <w:pPr>
              <w:autoSpaceDE w:val="0"/>
              <w:autoSpaceDN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080" w:type="dxa"/>
            <w:tcBorders>
              <w:top w:val="single" w:color="auto" w:sz="6" w:space="0"/>
              <w:left w:val="single" w:color="auto" w:sz="6" w:space="0"/>
              <w:bottom w:val="single" w:color="auto" w:sz="6" w:space="0"/>
              <w:right w:val="single" w:color="auto" w:sz="6" w:space="0"/>
            </w:tcBorders>
            <w:noWrap w:val="0"/>
            <w:vAlign w:val="center"/>
          </w:tcPr>
          <w:p w14:paraId="21369C28">
            <w:pPr>
              <w:autoSpaceDE w:val="0"/>
              <w:autoSpaceDN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技术条款偏离表</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65671C22">
            <w:pPr>
              <w:autoSpaceDE w:val="0"/>
              <w:autoSpaceDN w:val="0"/>
              <w:adjustRightInd w:val="0"/>
              <w:snapToGrid w:val="0"/>
              <w:spacing w:line="420" w:lineRule="exact"/>
              <w:jc w:val="center"/>
              <w:rPr>
                <w:rFonts w:hint="eastAsia" w:ascii="宋体" w:hAnsi="宋体" w:eastAsia="宋体" w:cs="宋体"/>
                <w:color w:val="auto"/>
                <w:szCs w:val="21"/>
                <w:highlight w:val="none"/>
              </w:rPr>
            </w:pPr>
          </w:p>
        </w:tc>
      </w:tr>
      <w:tr w14:paraId="10A158C2">
        <w:tblPrEx>
          <w:tblCellMar>
            <w:top w:w="0" w:type="dxa"/>
            <w:left w:w="108" w:type="dxa"/>
            <w:bottom w:w="0" w:type="dxa"/>
            <w:right w:w="108" w:type="dxa"/>
          </w:tblCellMar>
        </w:tblPrEx>
        <w:trPr>
          <w:trHeight w:val="540"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119480A9">
            <w:pPr>
              <w:autoSpaceDE w:val="0"/>
              <w:autoSpaceDN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080" w:type="dxa"/>
            <w:tcBorders>
              <w:top w:val="single" w:color="auto" w:sz="6" w:space="0"/>
              <w:left w:val="single" w:color="auto" w:sz="6" w:space="0"/>
              <w:bottom w:val="single" w:color="auto" w:sz="6" w:space="0"/>
              <w:right w:val="single" w:color="auto" w:sz="6" w:space="0"/>
            </w:tcBorders>
            <w:noWrap w:val="0"/>
            <w:vAlign w:val="center"/>
          </w:tcPr>
          <w:p w14:paraId="33EC5E75">
            <w:pPr>
              <w:autoSpaceDE w:val="0"/>
              <w:autoSpaceDN w:val="0"/>
              <w:adjustRightInd w:val="0"/>
              <w:snapToGrid w:val="0"/>
              <w:spacing w:line="42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产品技术资料</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3B38C468">
            <w:pPr>
              <w:autoSpaceDE w:val="0"/>
              <w:autoSpaceDN w:val="0"/>
              <w:adjustRightInd w:val="0"/>
              <w:snapToGrid w:val="0"/>
              <w:spacing w:line="420" w:lineRule="exact"/>
              <w:jc w:val="center"/>
              <w:rPr>
                <w:rFonts w:hint="eastAsia" w:ascii="宋体" w:hAnsi="宋体" w:eastAsia="宋体" w:cs="宋体"/>
                <w:color w:val="auto"/>
                <w:szCs w:val="21"/>
                <w:highlight w:val="none"/>
              </w:rPr>
            </w:pPr>
          </w:p>
        </w:tc>
      </w:tr>
      <w:tr w14:paraId="2BB27244">
        <w:tblPrEx>
          <w:tblCellMar>
            <w:top w:w="0" w:type="dxa"/>
            <w:left w:w="108" w:type="dxa"/>
            <w:bottom w:w="0" w:type="dxa"/>
            <w:right w:w="108" w:type="dxa"/>
          </w:tblCellMar>
        </w:tblPrEx>
        <w:trPr>
          <w:trHeight w:val="540" w:hRule="atLeast"/>
          <w:jc w:val="center"/>
        </w:trPr>
        <w:tc>
          <w:tcPr>
            <w:tcW w:w="710" w:type="dxa"/>
            <w:tcBorders>
              <w:top w:val="nil"/>
              <w:left w:val="single" w:color="auto" w:sz="6" w:space="0"/>
              <w:bottom w:val="single" w:color="auto" w:sz="6" w:space="0"/>
              <w:right w:val="single" w:color="auto" w:sz="6" w:space="0"/>
            </w:tcBorders>
            <w:noWrap w:val="0"/>
            <w:vAlign w:val="center"/>
          </w:tcPr>
          <w:p w14:paraId="6783BD4E">
            <w:pPr>
              <w:autoSpaceDE w:val="0"/>
              <w:autoSpaceDN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080" w:type="dxa"/>
            <w:tcBorders>
              <w:top w:val="single" w:color="auto" w:sz="6" w:space="0"/>
              <w:left w:val="single" w:color="auto" w:sz="6" w:space="0"/>
              <w:bottom w:val="single" w:color="auto" w:sz="6" w:space="0"/>
              <w:right w:val="single" w:color="auto" w:sz="6" w:space="0"/>
            </w:tcBorders>
            <w:noWrap w:val="0"/>
            <w:vAlign w:val="center"/>
          </w:tcPr>
          <w:p w14:paraId="23DEEE2B">
            <w:pPr>
              <w:autoSpaceDE w:val="0"/>
              <w:autoSpaceDN w:val="0"/>
              <w:adjustRightInd w:val="0"/>
              <w:snapToGrid w:val="0"/>
              <w:spacing w:line="420" w:lineRule="exac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投标人认为需要提供的其它技术资料</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D4FB9BD">
            <w:pPr>
              <w:autoSpaceDE w:val="0"/>
              <w:autoSpaceDN w:val="0"/>
              <w:adjustRightInd w:val="0"/>
              <w:snapToGrid w:val="0"/>
              <w:spacing w:line="420" w:lineRule="exact"/>
              <w:jc w:val="center"/>
              <w:rPr>
                <w:rFonts w:hint="eastAsia" w:ascii="宋体" w:hAnsi="宋体" w:eastAsia="宋体" w:cs="宋体"/>
                <w:color w:val="auto"/>
                <w:szCs w:val="21"/>
                <w:highlight w:val="none"/>
                <w:lang w:val="zh-CN"/>
              </w:rPr>
            </w:pPr>
          </w:p>
        </w:tc>
      </w:tr>
    </w:tbl>
    <w:p w14:paraId="12E9751C">
      <w:pPr>
        <w:autoSpaceDE w:val="0"/>
        <w:autoSpaceDN w:val="0"/>
        <w:adjustRightInd w:val="0"/>
        <w:snapToGrid w:val="0"/>
        <w:spacing w:line="520" w:lineRule="exact"/>
        <w:ind w:firstLine="105" w:firstLine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投标要求：</w:t>
      </w:r>
    </w:p>
    <w:p w14:paraId="3F94B058">
      <w:pPr>
        <w:autoSpaceDE w:val="0"/>
        <w:autoSpaceDN w:val="0"/>
        <w:adjustRightInd w:val="0"/>
        <w:snapToGrid w:val="0"/>
        <w:spacing w:line="520" w:lineRule="exact"/>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1、投标人必须按照技术文件清单以及规定的格式和要求提交，清单中虽未列出但采购文件要求提交的技术文件，投标人也应按采购文件的要求提交。</w:t>
      </w:r>
    </w:p>
    <w:p w14:paraId="2A125FF8">
      <w:pPr>
        <w:autoSpaceDE w:val="0"/>
        <w:autoSpaceDN w:val="0"/>
        <w:adjustRightInd w:val="0"/>
        <w:snapToGrid w:val="0"/>
        <w:spacing w:line="520" w:lineRule="exact"/>
        <w:ind w:firstLine="48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2、投标人在投标前应自行检查要求提交的技术文件是否已完整提交和签章，若有缺失、无效或者不符合采购文件规定，将导致其投标被拒绝。</w:t>
      </w:r>
    </w:p>
    <w:p w14:paraId="2F752D72">
      <w:pPr>
        <w:autoSpaceDE w:val="0"/>
        <w:autoSpaceDN w:val="0"/>
        <w:adjustRightInd w:val="0"/>
        <w:snapToGrid w:val="0"/>
        <w:spacing w:line="520" w:lineRule="exact"/>
        <w:ind w:firstLine="482"/>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3、投标人应按本格式编制技术文件目录，并编排在技术文件部分首页</w:t>
      </w:r>
      <w:r>
        <w:rPr>
          <w:rFonts w:hint="eastAsia" w:ascii="宋体" w:hAnsi="宋体" w:eastAsia="宋体" w:cs="宋体"/>
          <w:b/>
          <w:color w:val="auto"/>
          <w:szCs w:val="21"/>
          <w:highlight w:val="none"/>
          <w:lang w:val="zh-CN"/>
        </w:rPr>
        <w:t>。</w:t>
      </w:r>
    </w:p>
    <w:p w14:paraId="0DD705D1">
      <w:pPr>
        <w:autoSpaceDE w:val="0"/>
        <w:autoSpaceDN w:val="0"/>
        <w:adjustRightInd w:val="0"/>
        <w:snapToGrid w:val="0"/>
        <w:spacing w:line="5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4、与完成本项目有关的各种费用均应包含在总报价中，数量单位须写明台(套)。如果提供价格折扣应明确标明。</w:t>
      </w:r>
    </w:p>
    <w:p w14:paraId="234BF7CC">
      <w:pPr>
        <w:autoSpaceDE w:val="0"/>
        <w:autoSpaceDN w:val="0"/>
        <w:adjustRightInd w:val="0"/>
        <w:snapToGrid w:val="0"/>
        <w:spacing w:line="520" w:lineRule="exact"/>
        <w:ind w:firstLine="48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5、所有投标货物均应标明品牌型号、详细功能配置、主要技术参数、功能配置及技术指标偏离情况、原产地及制造厂商等。</w:t>
      </w:r>
    </w:p>
    <w:p w14:paraId="36781CC4">
      <w:pPr>
        <w:autoSpaceDE w:val="0"/>
        <w:autoSpaceDN w:val="0"/>
        <w:adjustRightInd w:val="0"/>
        <w:snapToGrid w:val="0"/>
        <w:spacing w:line="520" w:lineRule="exact"/>
        <w:rPr>
          <w:rFonts w:hint="eastAsia" w:ascii="宋体" w:hAnsi="宋体" w:eastAsia="宋体" w:cs="宋体"/>
          <w:b/>
          <w:color w:val="auto"/>
          <w:szCs w:val="21"/>
          <w:highlight w:val="none"/>
          <w:lang w:val="zh-CN"/>
        </w:rPr>
      </w:pPr>
    </w:p>
    <w:p w14:paraId="3EFE3CFC">
      <w:pPr>
        <w:autoSpaceDE w:val="0"/>
        <w:autoSpaceDN w:val="0"/>
        <w:adjustRightInd w:val="0"/>
        <w:snapToGrid w:val="0"/>
        <w:spacing w:line="520" w:lineRule="exact"/>
        <w:rPr>
          <w:rFonts w:hint="eastAsia" w:ascii="宋体" w:hAnsi="宋体" w:eastAsia="宋体" w:cs="宋体"/>
          <w:b/>
          <w:color w:val="auto"/>
          <w:szCs w:val="21"/>
          <w:highlight w:val="none"/>
          <w:lang w:val="zh-CN"/>
        </w:rPr>
      </w:pPr>
    </w:p>
    <w:p w14:paraId="38D4860F">
      <w:pPr>
        <w:autoSpaceDE w:val="0"/>
        <w:autoSpaceDN w:val="0"/>
        <w:adjustRightInd w:val="0"/>
        <w:snapToGrid w:val="0"/>
        <w:spacing w:line="520" w:lineRule="exact"/>
        <w:rPr>
          <w:rFonts w:hint="eastAsia" w:ascii="宋体" w:hAnsi="宋体" w:eastAsia="宋体" w:cs="宋体"/>
          <w:b/>
          <w:color w:val="auto"/>
          <w:sz w:val="24"/>
          <w:highlight w:val="none"/>
          <w:lang w:val="zh-CN"/>
        </w:rPr>
      </w:pPr>
    </w:p>
    <w:p w14:paraId="784E1A6F">
      <w:pPr>
        <w:autoSpaceDE w:val="0"/>
        <w:autoSpaceDN w:val="0"/>
        <w:adjustRightInd w:val="0"/>
        <w:snapToGrid w:val="0"/>
        <w:rPr>
          <w:rFonts w:hint="eastAsia" w:ascii="宋体" w:hAnsi="宋体" w:eastAsia="宋体" w:cs="宋体"/>
          <w:color w:val="auto"/>
          <w:sz w:val="23"/>
          <w:highlight w:val="none"/>
        </w:rPr>
      </w:pPr>
    </w:p>
    <w:p w14:paraId="2D3A490B">
      <w:pPr>
        <w:autoSpaceDE w:val="0"/>
        <w:autoSpaceDN w:val="0"/>
        <w:adjustRightInd w:val="0"/>
        <w:snapToGrid w:val="0"/>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r>
        <w:rPr>
          <w:rFonts w:hint="eastAsia" w:ascii="宋体" w:hAnsi="宋体" w:eastAsia="宋体" w:cs="宋体"/>
          <w:b/>
          <w:bCs/>
          <w:color w:val="auto"/>
          <w:sz w:val="30"/>
          <w:szCs w:val="30"/>
          <w:highlight w:val="none"/>
          <w:lang w:val="zh-CN"/>
        </w:rPr>
        <w:t>一、技术条款偏离表</w:t>
      </w:r>
    </w:p>
    <w:p w14:paraId="599D9C0B">
      <w:pPr>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587D6023">
      <w:pPr>
        <w:rPr>
          <w:rFonts w:hint="eastAsia" w:ascii="宋体" w:hAnsi="宋体" w:eastAsia="宋体" w:cs="宋体"/>
          <w:color w:val="auto"/>
          <w:highlight w:val="none"/>
        </w:rPr>
      </w:pPr>
      <w:r>
        <w:rPr>
          <w:rFonts w:hint="eastAsia" w:ascii="宋体" w:hAnsi="宋体" w:eastAsia="宋体" w:cs="宋体"/>
          <w:color w:val="auto"/>
          <w:highlight w:val="none"/>
        </w:rPr>
        <w:t>项目编号：</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33"/>
        <w:gridCol w:w="1587"/>
        <w:gridCol w:w="1426"/>
        <w:gridCol w:w="1428"/>
        <w:gridCol w:w="1185"/>
        <w:gridCol w:w="882"/>
        <w:gridCol w:w="1009"/>
      </w:tblGrid>
      <w:tr w14:paraId="4E9F3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7" w:type="dxa"/>
            <w:noWrap w:val="0"/>
            <w:vAlign w:val="center"/>
          </w:tcPr>
          <w:p w14:paraId="5A4F272A">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序号</w:t>
            </w:r>
          </w:p>
        </w:tc>
        <w:tc>
          <w:tcPr>
            <w:tcW w:w="1333" w:type="dxa"/>
            <w:noWrap w:val="0"/>
            <w:vAlign w:val="center"/>
          </w:tcPr>
          <w:p w14:paraId="31EE12E3">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采购标的</w:t>
            </w:r>
            <w:r>
              <w:rPr>
                <w:rFonts w:hint="eastAsia" w:ascii="宋体" w:hAnsi="宋体" w:eastAsia="宋体" w:cs="宋体"/>
                <w:color w:val="auto"/>
                <w:szCs w:val="21"/>
                <w:highlight w:val="none"/>
                <w:lang w:val="zh-CN"/>
              </w:rPr>
              <w:t>名称</w:t>
            </w:r>
          </w:p>
        </w:tc>
        <w:tc>
          <w:tcPr>
            <w:tcW w:w="1587" w:type="dxa"/>
            <w:noWrap w:val="0"/>
            <w:vAlign w:val="center"/>
          </w:tcPr>
          <w:p w14:paraId="4456A301">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规定的具体参数值或功能</w:t>
            </w:r>
            <w:r>
              <w:rPr>
                <w:rFonts w:hint="eastAsia" w:ascii="宋体" w:hAnsi="宋体" w:eastAsia="宋体" w:cs="宋体"/>
                <w:color w:val="auto"/>
                <w:szCs w:val="21"/>
                <w:highlight w:val="none"/>
                <w:lang w:val="zh-CN"/>
              </w:rPr>
              <w:t>要求</w:t>
            </w:r>
            <w:r>
              <w:rPr>
                <w:rFonts w:hint="eastAsia" w:ascii="宋体" w:hAnsi="宋体" w:eastAsia="宋体" w:cs="宋体"/>
                <w:color w:val="auto"/>
                <w:szCs w:val="21"/>
                <w:highlight w:val="none"/>
              </w:rPr>
              <w:t>表述</w:t>
            </w:r>
          </w:p>
        </w:tc>
        <w:tc>
          <w:tcPr>
            <w:tcW w:w="1426" w:type="dxa"/>
            <w:noWrap w:val="0"/>
            <w:vAlign w:val="center"/>
          </w:tcPr>
          <w:p w14:paraId="36D5B74E">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规定的数量及单位要求</w:t>
            </w:r>
          </w:p>
        </w:tc>
        <w:tc>
          <w:tcPr>
            <w:tcW w:w="1428" w:type="dxa"/>
            <w:noWrap w:val="0"/>
            <w:vAlign w:val="center"/>
          </w:tcPr>
          <w:p w14:paraId="5B750AB9">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投标文件对具体参数值或功能</w:t>
            </w:r>
            <w:r>
              <w:rPr>
                <w:rFonts w:hint="eastAsia" w:ascii="宋体" w:hAnsi="宋体" w:eastAsia="宋体" w:cs="宋体"/>
                <w:color w:val="auto"/>
                <w:szCs w:val="21"/>
                <w:highlight w:val="none"/>
                <w:lang w:val="zh-CN"/>
              </w:rPr>
              <w:t>要求</w:t>
            </w:r>
            <w:r>
              <w:rPr>
                <w:rFonts w:hint="eastAsia" w:ascii="宋体" w:hAnsi="宋体" w:eastAsia="宋体" w:cs="宋体"/>
                <w:color w:val="auto"/>
                <w:szCs w:val="21"/>
                <w:highlight w:val="none"/>
              </w:rPr>
              <w:t>表述</w:t>
            </w:r>
            <w:r>
              <w:rPr>
                <w:rFonts w:hint="eastAsia" w:ascii="宋体" w:hAnsi="宋体" w:eastAsia="宋体" w:cs="宋体"/>
                <w:color w:val="auto"/>
                <w:szCs w:val="21"/>
                <w:highlight w:val="none"/>
                <w:lang w:val="zh-CN"/>
              </w:rPr>
              <w:t>应答</w:t>
            </w:r>
          </w:p>
        </w:tc>
        <w:tc>
          <w:tcPr>
            <w:tcW w:w="1185" w:type="dxa"/>
            <w:noWrap w:val="0"/>
            <w:vAlign w:val="center"/>
          </w:tcPr>
          <w:p w14:paraId="4AD4C86E">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投标文件对数量及单位</w:t>
            </w:r>
            <w:r>
              <w:rPr>
                <w:rFonts w:hint="eastAsia" w:ascii="宋体" w:hAnsi="宋体" w:eastAsia="宋体" w:cs="宋体"/>
                <w:color w:val="auto"/>
                <w:szCs w:val="21"/>
                <w:highlight w:val="none"/>
                <w:lang w:val="zh-CN"/>
              </w:rPr>
              <w:t>应答</w:t>
            </w:r>
          </w:p>
        </w:tc>
        <w:tc>
          <w:tcPr>
            <w:tcW w:w="882" w:type="dxa"/>
            <w:noWrap w:val="0"/>
            <w:vAlign w:val="center"/>
          </w:tcPr>
          <w:p w14:paraId="2F134159">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偏离</w:t>
            </w:r>
          </w:p>
          <w:p w14:paraId="7188B7C5">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情况</w:t>
            </w:r>
          </w:p>
        </w:tc>
        <w:tc>
          <w:tcPr>
            <w:tcW w:w="1009" w:type="dxa"/>
            <w:noWrap w:val="0"/>
            <w:vAlign w:val="center"/>
          </w:tcPr>
          <w:p w14:paraId="78FD4AD5">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说明</w:t>
            </w:r>
          </w:p>
        </w:tc>
      </w:tr>
      <w:tr w14:paraId="1A4DC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7" w:type="dxa"/>
            <w:noWrap w:val="0"/>
            <w:vAlign w:val="center"/>
          </w:tcPr>
          <w:p w14:paraId="2CAC6B0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33" w:type="dxa"/>
            <w:noWrap w:val="0"/>
            <w:vAlign w:val="center"/>
          </w:tcPr>
          <w:p w14:paraId="7ECA4A67">
            <w:pPr>
              <w:jc w:val="center"/>
              <w:rPr>
                <w:rFonts w:hint="eastAsia" w:ascii="宋体" w:hAnsi="宋体" w:eastAsia="宋体" w:cs="宋体"/>
                <w:color w:val="auto"/>
                <w:szCs w:val="21"/>
                <w:highlight w:val="none"/>
              </w:rPr>
            </w:pPr>
          </w:p>
        </w:tc>
        <w:tc>
          <w:tcPr>
            <w:tcW w:w="1587" w:type="dxa"/>
            <w:noWrap w:val="0"/>
            <w:vAlign w:val="center"/>
          </w:tcPr>
          <w:p w14:paraId="3C0921A6">
            <w:pPr>
              <w:jc w:val="center"/>
              <w:rPr>
                <w:rFonts w:hint="eastAsia" w:ascii="宋体" w:hAnsi="宋体" w:eastAsia="宋体" w:cs="宋体"/>
                <w:color w:val="auto"/>
                <w:szCs w:val="21"/>
                <w:highlight w:val="none"/>
              </w:rPr>
            </w:pPr>
          </w:p>
        </w:tc>
        <w:tc>
          <w:tcPr>
            <w:tcW w:w="1426" w:type="dxa"/>
            <w:noWrap w:val="0"/>
            <w:vAlign w:val="center"/>
          </w:tcPr>
          <w:p w14:paraId="080B1DA9">
            <w:pPr>
              <w:jc w:val="center"/>
              <w:rPr>
                <w:rFonts w:hint="eastAsia" w:ascii="宋体" w:hAnsi="宋体" w:eastAsia="宋体" w:cs="宋体"/>
                <w:color w:val="auto"/>
                <w:szCs w:val="21"/>
                <w:highlight w:val="none"/>
              </w:rPr>
            </w:pPr>
          </w:p>
        </w:tc>
        <w:tc>
          <w:tcPr>
            <w:tcW w:w="1428" w:type="dxa"/>
            <w:noWrap w:val="0"/>
            <w:vAlign w:val="center"/>
          </w:tcPr>
          <w:p w14:paraId="186531A9">
            <w:pPr>
              <w:jc w:val="center"/>
              <w:rPr>
                <w:rFonts w:hint="eastAsia" w:ascii="宋体" w:hAnsi="宋体" w:eastAsia="宋体" w:cs="宋体"/>
                <w:color w:val="auto"/>
                <w:szCs w:val="21"/>
                <w:highlight w:val="none"/>
              </w:rPr>
            </w:pPr>
          </w:p>
        </w:tc>
        <w:tc>
          <w:tcPr>
            <w:tcW w:w="1185" w:type="dxa"/>
            <w:noWrap w:val="0"/>
            <w:vAlign w:val="center"/>
          </w:tcPr>
          <w:p w14:paraId="6A7E1839">
            <w:pPr>
              <w:jc w:val="center"/>
              <w:rPr>
                <w:rFonts w:hint="eastAsia" w:ascii="宋体" w:hAnsi="宋体" w:eastAsia="宋体" w:cs="宋体"/>
                <w:color w:val="auto"/>
                <w:szCs w:val="21"/>
                <w:highlight w:val="none"/>
              </w:rPr>
            </w:pPr>
          </w:p>
        </w:tc>
        <w:tc>
          <w:tcPr>
            <w:tcW w:w="882" w:type="dxa"/>
            <w:noWrap w:val="0"/>
            <w:vAlign w:val="center"/>
          </w:tcPr>
          <w:p w14:paraId="03E461CC">
            <w:pPr>
              <w:jc w:val="center"/>
              <w:rPr>
                <w:rFonts w:hint="eastAsia" w:ascii="宋体" w:hAnsi="宋体" w:eastAsia="宋体" w:cs="宋体"/>
                <w:color w:val="auto"/>
                <w:szCs w:val="21"/>
                <w:highlight w:val="none"/>
              </w:rPr>
            </w:pPr>
          </w:p>
        </w:tc>
        <w:tc>
          <w:tcPr>
            <w:tcW w:w="1009" w:type="dxa"/>
            <w:noWrap w:val="0"/>
            <w:vAlign w:val="center"/>
          </w:tcPr>
          <w:p w14:paraId="053E6A1A">
            <w:pPr>
              <w:jc w:val="center"/>
              <w:rPr>
                <w:rFonts w:hint="eastAsia" w:ascii="宋体" w:hAnsi="宋体" w:eastAsia="宋体" w:cs="宋体"/>
                <w:color w:val="auto"/>
                <w:szCs w:val="21"/>
                <w:highlight w:val="none"/>
              </w:rPr>
            </w:pPr>
          </w:p>
        </w:tc>
      </w:tr>
      <w:tr w14:paraId="25E95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7" w:type="dxa"/>
            <w:noWrap w:val="0"/>
            <w:vAlign w:val="center"/>
          </w:tcPr>
          <w:p w14:paraId="78B940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33" w:type="dxa"/>
            <w:noWrap w:val="0"/>
            <w:vAlign w:val="center"/>
          </w:tcPr>
          <w:p w14:paraId="084B46D4">
            <w:pPr>
              <w:jc w:val="center"/>
              <w:rPr>
                <w:rFonts w:hint="eastAsia" w:ascii="宋体" w:hAnsi="宋体" w:eastAsia="宋体" w:cs="宋体"/>
                <w:color w:val="auto"/>
                <w:szCs w:val="21"/>
                <w:highlight w:val="none"/>
              </w:rPr>
            </w:pPr>
          </w:p>
        </w:tc>
        <w:tc>
          <w:tcPr>
            <w:tcW w:w="1587" w:type="dxa"/>
            <w:noWrap w:val="0"/>
            <w:vAlign w:val="center"/>
          </w:tcPr>
          <w:p w14:paraId="6B8663B0">
            <w:pPr>
              <w:jc w:val="center"/>
              <w:rPr>
                <w:rFonts w:hint="eastAsia" w:ascii="宋体" w:hAnsi="宋体" w:eastAsia="宋体" w:cs="宋体"/>
                <w:color w:val="auto"/>
                <w:szCs w:val="21"/>
                <w:highlight w:val="none"/>
              </w:rPr>
            </w:pPr>
          </w:p>
        </w:tc>
        <w:tc>
          <w:tcPr>
            <w:tcW w:w="1426" w:type="dxa"/>
            <w:noWrap w:val="0"/>
            <w:vAlign w:val="center"/>
          </w:tcPr>
          <w:p w14:paraId="52962DB4">
            <w:pPr>
              <w:jc w:val="center"/>
              <w:rPr>
                <w:rFonts w:hint="eastAsia" w:ascii="宋体" w:hAnsi="宋体" w:eastAsia="宋体" w:cs="宋体"/>
                <w:color w:val="auto"/>
                <w:szCs w:val="21"/>
                <w:highlight w:val="none"/>
              </w:rPr>
            </w:pPr>
          </w:p>
        </w:tc>
        <w:tc>
          <w:tcPr>
            <w:tcW w:w="1428" w:type="dxa"/>
            <w:noWrap w:val="0"/>
            <w:vAlign w:val="center"/>
          </w:tcPr>
          <w:p w14:paraId="02D396C3">
            <w:pPr>
              <w:jc w:val="center"/>
              <w:rPr>
                <w:rFonts w:hint="eastAsia" w:ascii="宋体" w:hAnsi="宋体" w:eastAsia="宋体" w:cs="宋体"/>
                <w:color w:val="auto"/>
                <w:szCs w:val="21"/>
                <w:highlight w:val="none"/>
              </w:rPr>
            </w:pPr>
          </w:p>
        </w:tc>
        <w:tc>
          <w:tcPr>
            <w:tcW w:w="1185" w:type="dxa"/>
            <w:noWrap w:val="0"/>
            <w:vAlign w:val="center"/>
          </w:tcPr>
          <w:p w14:paraId="0034E18F">
            <w:pPr>
              <w:jc w:val="center"/>
              <w:rPr>
                <w:rFonts w:hint="eastAsia" w:ascii="宋体" w:hAnsi="宋体" w:eastAsia="宋体" w:cs="宋体"/>
                <w:color w:val="auto"/>
                <w:szCs w:val="21"/>
                <w:highlight w:val="none"/>
              </w:rPr>
            </w:pPr>
          </w:p>
        </w:tc>
        <w:tc>
          <w:tcPr>
            <w:tcW w:w="882" w:type="dxa"/>
            <w:noWrap w:val="0"/>
            <w:vAlign w:val="center"/>
          </w:tcPr>
          <w:p w14:paraId="23A57503">
            <w:pPr>
              <w:jc w:val="center"/>
              <w:rPr>
                <w:rFonts w:hint="eastAsia" w:ascii="宋体" w:hAnsi="宋体" w:eastAsia="宋体" w:cs="宋体"/>
                <w:color w:val="auto"/>
                <w:szCs w:val="21"/>
                <w:highlight w:val="none"/>
              </w:rPr>
            </w:pPr>
          </w:p>
        </w:tc>
        <w:tc>
          <w:tcPr>
            <w:tcW w:w="1009" w:type="dxa"/>
            <w:noWrap w:val="0"/>
            <w:vAlign w:val="center"/>
          </w:tcPr>
          <w:p w14:paraId="108A2E94">
            <w:pPr>
              <w:jc w:val="center"/>
              <w:rPr>
                <w:rFonts w:hint="eastAsia" w:ascii="宋体" w:hAnsi="宋体" w:eastAsia="宋体" w:cs="宋体"/>
                <w:color w:val="auto"/>
                <w:szCs w:val="21"/>
                <w:highlight w:val="none"/>
              </w:rPr>
            </w:pPr>
          </w:p>
        </w:tc>
      </w:tr>
      <w:tr w14:paraId="44557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7" w:type="dxa"/>
            <w:noWrap w:val="0"/>
            <w:vAlign w:val="center"/>
          </w:tcPr>
          <w:p w14:paraId="0C29E0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33" w:type="dxa"/>
            <w:noWrap w:val="0"/>
            <w:vAlign w:val="center"/>
          </w:tcPr>
          <w:p w14:paraId="22C700BD">
            <w:pPr>
              <w:jc w:val="center"/>
              <w:rPr>
                <w:rFonts w:hint="eastAsia" w:ascii="宋体" w:hAnsi="宋体" w:eastAsia="宋体" w:cs="宋体"/>
                <w:color w:val="auto"/>
                <w:szCs w:val="21"/>
                <w:highlight w:val="none"/>
              </w:rPr>
            </w:pPr>
          </w:p>
        </w:tc>
        <w:tc>
          <w:tcPr>
            <w:tcW w:w="1587" w:type="dxa"/>
            <w:noWrap w:val="0"/>
            <w:vAlign w:val="center"/>
          </w:tcPr>
          <w:p w14:paraId="3BC765D6">
            <w:pPr>
              <w:jc w:val="center"/>
              <w:rPr>
                <w:rFonts w:hint="eastAsia" w:ascii="宋体" w:hAnsi="宋体" w:eastAsia="宋体" w:cs="宋体"/>
                <w:color w:val="auto"/>
                <w:szCs w:val="21"/>
                <w:highlight w:val="none"/>
              </w:rPr>
            </w:pPr>
          </w:p>
        </w:tc>
        <w:tc>
          <w:tcPr>
            <w:tcW w:w="1426" w:type="dxa"/>
            <w:noWrap w:val="0"/>
            <w:vAlign w:val="center"/>
          </w:tcPr>
          <w:p w14:paraId="3510ECA5">
            <w:pPr>
              <w:jc w:val="center"/>
              <w:rPr>
                <w:rFonts w:hint="eastAsia" w:ascii="宋体" w:hAnsi="宋体" w:eastAsia="宋体" w:cs="宋体"/>
                <w:color w:val="auto"/>
                <w:szCs w:val="21"/>
                <w:highlight w:val="none"/>
              </w:rPr>
            </w:pPr>
          </w:p>
        </w:tc>
        <w:tc>
          <w:tcPr>
            <w:tcW w:w="1428" w:type="dxa"/>
            <w:noWrap w:val="0"/>
            <w:vAlign w:val="center"/>
          </w:tcPr>
          <w:p w14:paraId="678CAB64">
            <w:pPr>
              <w:jc w:val="center"/>
              <w:rPr>
                <w:rFonts w:hint="eastAsia" w:ascii="宋体" w:hAnsi="宋体" w:eastAsia="宋体" w:cs="宋体"/>
                <w:color w:val="auto"/>
                <w:szCs w:val="21"/>
                <w:highlight w:val="none"/>
              </w:rPr>
            </w:pPr>
          </w:p>
        </w:tc>
        <w:tc>
          <w:tcPr>
            <w:tcW w:w="1185" w:type="dxa"/>
            <w:noWrap w:val="0"/>
            <w:vAlign w:val="center"/>
          </w:tcPr>
          <w:p w14:paraId="4B101AF2">
            <w:pPr>
              <w:jc w:val="center"/>
              <w:rPr>
                <w:rFonts w:hint="eastAsia" w:ascii="宋体" w:hAnsi="宋体" w:eastAsia="宋体" w:cs="宋体"/>
                <w:color w:val="auto"/>
                <w:szCs w:val="21"/>
                <w:highlight w:val="none"/>
              </w:rPr>
            </w:pPr>
          </w:p>
        </w:tc>
        <w:tc>
          <w:tcPr>
            <w:tcW w:w="882" w:type="dxa"/>
            <w:noWrap w:val="0"/>
            <w:vAlign w:val="center"/>
          </w:tcPr>
          <w:p w14:paraId="181571C2">
            <w:pPr>
              <w:jc w:val="center"/>
              <w:rPr>
                <w:rFonts w:hint="eastAsia" w:ascii="宋体" w:hAnsi="宋体" w:eastAsia="宋体" w:cs="宋体"/>
                <w:color w:val="auto"/>
                <w:szCs w:val="21"/>
                <w:highlight w:val="none"/>
              </w:rPr>
            </w:pPr>
          </w:p>
        </w:tc>
        <w:tc>
          <w:tcPr>
            <w:tcW w:w="1009" w:type="dxa"/>
            <w:noWrap w:val="0"/>
            <w:vAlign w:val="center"/>
          </w:tcPr>
          <w:p w14:paraId="4657EF35">
            <w:pPr>
              <w:jc w:val="center"/>
              <w:rPr>
                <w:rFonts w:hint="eastAsia" w:ascii="宋体" w:hAnsi="宋体" w:eastAsia="宋体" w:cs="宋体"/>
                <w:color w:val="auto"/>
                <w:szCs w:val="21"/>
                <w:highlight w:val="none"/>
              </w:rPr>
            </w:pPr>
          </w:p>
        </w:tc>
      </w:tr>
      <w:tr w14:paraId="61470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7" w:type="dxa"/>
            <w:noWrap w:val="0"/>
            <w:vAlign w:val="center"/>
          </w:tcPr>
          <w:p w14:paraId="2F83BC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33" w:type="dxa"/>
            <w:noWrap w:val="0"/>
            <w:vAlign w:val="center"/>
          </w:tcPr>
          <w:p w14:paraId="392C1EB9">
            <w:pPr>
              <w:jc w:val="center"/>
              <w:rPr>
                <w:rFonts w:hint="eastAsia" w:ascii="宋体" w:hAnsi="宋体" w:eastAsia="宋体" w:cs="宋体"/>
                <w:color w:val="auto"/>
                <w:szCs w:val="21"/>
                <w:highlight w:val="none"/>
              </w:rPr>
            </w:pPr>
          </w:p>
        </w:tc>
        <w:tc>
          <w:tcPr>
            <w:tcW w:w="1587" w:type="dxa"/>
            <w:noWrap w:val="0"/>
            <w:vAlign w:val="center"/>
          </w:tcPr>
          <w:p w14:paraId="6F1C7A64">
            <w:pPr>
              <w:jc w:val="center"/>
              <w:rPr>
                <w:rFonts w:hint="eastAsia" w:ascii="宋体" w:hAnsi="宋体" w:eastAsia="宋体" w:cs="宋体"/>
                <w:color w:val="auto"/>
                <w:szCs w:val="21"/>
                <w:highlight w:val="none"/>
              </w:rPr>
            </w:pPr>
          </w:p>
        </w:tc>
        <w:tc>
          <w:tcPr>
            <w:tcW w:w="1426" w:type="dxa"/>
            <w:noWrap w:val="0"/>
            <w:vAlign w:val="center"/>
          </w:tcPr>
          <w:p w14:paraId="4222A8F3">
            <w:pPr>
              <w:jc w:val="center"/>
              <w:rPr>
                <w:rFonts w:hint="eastAsia" w:ascii="宋体" w:hAnsi="宋体" w:eastAsia="宋体" w:cs="宋体"/>
                <w:color w:val="auto"/>
                <w:szCs w:val="21"/>
                <w:highlight w:val="none"/>
              </w:rPr>
            </w:pPr>
          </w:p>
        </w:tc>
        <w:tc>
          <w:tcPr>
            <w:tcW w:w="1428" w:type="dxa"/>
            <w:noWrap w:val="0"/>
            <w:vAlign w:val="center"/>
          </w:tcPr>
          <w:p w14:paraId="196276DD">
            <w:pPr>
              <w:jc w:val="center"/>
              <w:rPr>
                <w:rFonts w:hint="eastAsia" w:ascii="宋体" w:hAnsi="宋体" w:eastAsia="宋体" w:cs="宋体"/>
                <w:color w:val="auto"/>
                <w:szCs w:val="21"/>
                <w:highlight w:val="none"/>
              </w:rPr>
            </w:pPr>
          </w:p>
        </w:tc>
        <w:tc>
          <w:tcPr>
            <w:tcW w:w="1185" w:type="dxa"/>
            <w:noWrap w:val="0"/>
            <w:vAlign w:val="center"/>
          </w:tcPr>
          <w:p w14:paraId="06D9F193">
            <w:pPr>
              <w:jc w:val="center"/>
              <w:rPr>
                <w:rFonts w:hint="eastAsia" w:ascii="宋体" w:hAnsi="宋体" w:eastAsia="宋体" w:cs="宋体"/>
                <w:color w:val="auto"/>
                <w:szCs w:val="21"/>
                <w:highlight w:val="none"/>
              </w:rPr>
            </w:pPr>
          </w:p>
        </w:tc>
        <w:tc>
          <w:tcPr>
            <w:tcW w:w="882" w:type="dxa"/>
            <w:noWrap w:val="0"/>
            <w:vAlign w:val="center"/>
          </w:tcPr>
          <w:p w14:paraId="2569F155">
            <w:pPr>
              <w:jc w:val="center"/>
              <w:rPr>
                <w:rFonts w:hint="eastAsia" w:ascii="宋体" w:hAnsi="宋体" w:eastAsia="宋体" w:cs="宋体"/>
                <w:color w:val="auto"/>
                <w:szCs w:val="21"/>
                <w:highlight w:val="none"/>
              </w:rPr>
            </w:pPr>
          </w:p>
        </w:tc>
        <w:tc>
          <w:tcPr>
            <w:tcW w:w="1009" w:type="dxa"/>
            <w:noWrap w:val="0"/>
            <w:vAlign w:val="center"/>
          </w:tcPr>
          <w:p w14:paraId="4FD38695">
            <w:pPr>
              <w:jc w:val="center"/>
              <w:rPr>
                <w:rFonts w:hint="eastAsia" w:ascii="宋体" w:hAnsi="宋体" w:eastAsia="宋体" w:cs="宋体"/>
                <w:color w:val="auto"/>
                <w:szCs w:val="21"/>
                <w:highlight w:val="none"/>
              </w:rPr>
            </w:pPr>
          </w:p>
        </w:tc>
      </w:tr>
    </w:tbl>
    <w:p w14:paraId="6A25944B">
      <w:pPr>
        <w:pStyle w:val="72"/>
        <w:snapToGrid w:val="0"/>
        <w:ind w:left="420"/>
        <w:rPr>
          <w:rFonts w:hint="eastAsia" w:ascii="宋体" w:hAnsi="宋体" w:eastAsia="宋体" w:cs="宋体"/>
          <w:bCs/>
          <w:snapToGrid w:val="0"/>
          <w:color w:val="auto"/>
          <w:szCs w:val="21"/>
          <w:highlight w:val="none"/>
        </w:rPr>
      </w:pPr>
    </w:p>
    <w:p w14:paraId="4EFA0EC5">
      <w:pPr>
        <w:pStyle w:val="72"/>
        <w:snapToGrid w:val="0"/>
        <w:ind w:left="42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注：</w:t>
      </w:r>
    </w:p>
    <w:p w14:paraId="76B78673">
      <w:pPr>
        <w:pStyle w:val="72"/>
        <w:snapToGrid w:val="0"/>
        <w:spacing w:line="520" w:lineRule="exact"/>
        <w:ind w:left="420"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未达到以下提供要求的，</w:t>
      </w:r>
      <w:r>
        <w:rPr>
          <w:rFonts w:hint="eastAsia" w:ascii="宋体" w:hAnsi="宋体" w:eastAsia="宋体" w:cs="宋体"/>
          <w:color w:val="auto"/>
          <w:sz w:val="21"/>
          <w:szCs w:val="21"/>
          <w:highlight w:val="none"/>
        </w:rPr>
        <w:t>导致评标委员会据此认定未实质性响应</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技术要求或该项技术得分受到影响的，是投标人的风险。</w:t>
      </w:r>
    </w:p>
    <w:p w14:paraId="0F984BC5">
      <w:pPr>
        <w:pStyle w:val="72"/>
        <w:numPr>
          <w:ilvl w:val="0"/>
          <w:numId w:val="15"/>
        </w:numPr>
        <w:adjustRightInd w:val="0"/>
        <w:snapToGrid w:val="0"/>
        <w:spacing w:after="0" w:line="520" w:lineRule="exact"/>
        <w:ind w:leftChars="0" w:firstLine="446"/>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w:t>
      </w:r>
      <w:r>
        <w:rPr>
          <w:rFonts w:hint="eastAsia" w:ascii="宋体" w:hAnsi="宋体" w:eastAsia="宋体" w:cs="宋体"/>
          <w:bCs/>
          <w:snapToGrid w:val="0"/>
          <w:color w:val="auto"/>
          <w:sz w:val="21"/>
          <w:szCs w:val="21"/>
          <w:highlight w:val="none"/>
          <w:lang w:eastAsia="zh-CN"/>
        </w:rPr>
        <w:t>采购文件</w:t>
      </w:r>
      <w:r>
        <w:rPr>
          <w:rFonts w:hint="eastAsia" w:ascii="宋体" w:hAnsi="宋体" w:eastAsia="宋体" w:cs="宋体"/>
          <w:bCs/>
          <w:snapToGrid w:val="0"/>
          <w:color w:val="auto"/>
          <w:sz w:val="21"/>
          <w:szCs w:val="21"/>
          <w:highlight w:val="none"/>
        </w:rPr>
        <w:t>规定的采购标的名称和具体参数值或功能要求表述”及“</w:t>
      </w:r>
      <w:r>
        <w:rPr>
          <w:rFonts w:hint="eastAsia" w:ascii="宋体" w:hAnsi="宋体" w:eastAsia="宋体" w:cs="宋体"/>
          <w:bCs/>
          <w:snapToGrid w:val="0"/>
          <w:color w:val="auto"/>
          <w:sz w:val="21"/>
          <w:szCs w:val="21"/>
          <w:highlight w:val="none"/>
          <w:lang w:eastAsia="zh-CN"/>
        </w:rPr>
        <w:t>采购文件</w:t>
      </w:r>
      <w:r>
        <w:rPr>
          <w:rFonts w:hint="eastAsia" w:ascii="宋体" w:hAnsi="宋体" w:eastAsia="宋体" w:cs="宋体"/>
          <w:bCs/>
          <w:snapToGrid w:val="0"/>
          <w:color w:val="auto"/>
          <w:sz w:val="21"/>
          <w:szCs w:val="21"/>
          <w:highlight w:val="none"/>
        </w:rPr>
        <w:t>规定的数量及单位要求”一栏应按照</w:t>
      </w:r>
      <w:r>
        <w:rPr>
          <w:rFonts w:hint="eastAsia" w:ascii="宋体" w:hAnsi="宋体" w:eastAsia="宋体" w:cs="宋体"/>
          <w:bCs/>
          <w:snapToGrid w:val="0"/>
          <w:color w:val="auto"/>
          <w:sz w:val="21"/>
          <w:szCs w:val="21"/>
          <w:highlight w:val="none"/>
          <w:lang w:eastAsia="zh-CN"/>
        </w:rPr>
        <w:t>采购文件</w:t>
      </w:r>
      <w:r>
        <w:rPr>
          <w:rFonts w:hint="eastAsia" w:ascii="宋体" w:hAnsi="宋体" w:eastAsia="宋体" w:cs="宋体"/>
          <w:bCs/>
          <w:snapToGrid w:val="0"/>
          <w:color w:val="auto"/>
          <w:sz w:val="21"/>
          <w:szCs w:val="21"/>
          <w:highlight w:val="none"/>
        </w:rPr>
        <w:t>第</w:t>
      </w:r>
      <w:r>
        <w:rPr>
          <w:rFonts w:hint="eastAsia" w:ascii="宋体" w:hAnsi="宋体" w:eastAsia="宋体" w:cs="宋体"/>
          <w:bCs/>
          <w:snapToGrid w:val="0"/>
          <w:color w:val="auto"/>
          <w:sz w:val="21"/>
          <w:szCs w:val="21"/>
          <w:highlight w:val="none"/>
          <w:lang w:val="en-US" w:eastAsia="zh-CN"/>
        </w:rPr>
        <w:t>五</w:t>
      </w:r>
      <w:r>
        <w:rPr>
          <w:rFonts w:hint="eastAsia" w:ascii="宋体" w:hAnsi="宋体" w:eastAsia="宋体" w:cs="宋体"/>
          <w:bCs/>
          <w:snapToGrid w:val="0"/>
          <w:color w:val="auto"/>
          <w:sz w:val="21"/>
          <w:szCs w:val="21"/>
          <w:highlight w:val="none"/>
        </w:rPr>
        <w:t>章《</w:t>
      </w:r>
      <w:r>
        <w:rPr>
          <w:rFonts w:hint="eastAsia" w:ascii="宋体" w:hAnsi="宋体" w:eastAsia="宋体" w:cs="宋体"/>
          <w:bCs/>
          <w:snapToGrid w:val="0"/>
          <w:color w:val="auto"/>
          <w:sz w:val="21"/>
          <w:szCs w:val="21"/>
          <w:highlight w:val="none"/>
          <w:lang w:eastAsia="zh-CN"/>
        </w:rPr>
        <w:t>采购需求及技术规格要求</w:t>
      </w:r>
      <w:r>
        <w:rPr>
          <w:rFonts w:hint="eastAsia" w:ascii="宋体" w:hAnsi="宋体" w:eastAsia="宋体" w:cs="宋体"/>
          <w:bCs/>
          <w:snapToGrid w:val="0"/>
          <w:color w:val="auto"/>
          <w:sz w:val="21"/>
          <w:szCs w:val="21"/>
          <w:highlight w:val="none"/>
        </w:rPr>
        <w:t>》中的</w:t>
      </w:r>
      <w:r>
        <w:rPr>
          <w:rFonts w:hint="eastAsia" w:ascii="宋体" w:hAnsi="宋体" w:eastAsia="宋体" w:cs="宋体"/>
          <w:color w:val="auto"/>
          <w:sz w:val="21"/>
          <w:szCs w:val="21"/>
          <w:highlight w:val="none"/>
        </w:rPr>
        <w:t>技术要求的</w:t>
      </w:r>
      <w:r>
        <w:rPr>
          <w:rFonts w:hint="eastAsia" w:ascii="宋体" w:hAnsi="宋体" w:eastAsia="宋体" w:cs="宋体"/>
          <w:bCs/>
          <w:snapToGrid w:val="0"/>
          <w:color w:val="auto"/>
          <w:sz w:val="21"/>
          <w:szCs w:val="21"/>
          <w:highlight w:val="none"/>
        </w:rPr>
        <w:t>采购标的名称、具体参数值或功能要求表述、数量、单位等内容逐项填写。</w:t>
      </w:r>
    </w:p>
    <w:p w14:paraId="35178A10">
      <w:pPr>
        <w:pStyle w:val="72"/>
        <w:snapToGrid w:val="0"/>
        <w:spacing w:line="520" w:lineRule="exact"/>
        <w:ind w:leftChars="0"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2.“投标文件对具体参数值或功能要求表述</w:t>
      </w:r>
      <w:r>
        <w:rPr>
          <w:rFonts w:hint="eastAsia" w:ascii="宋体" w:hAnsi="宋体" w:eastAsia="宋体" w:cs="宋体"/>
          <w:bCs/>
          <w:snapToGrid w:val="0"/>
          <w:color w:val="auto"/>
          <w:sz w:val="21"/>
          <w:szCs w:val="21"/>
          <w:highlight w:val="none"/>
          <w:lang w:val="zh-CN"/>
        </w:rPr>
        <w:t>应答</w:t>
      </w:r>
      <w:r>
        <w:rPr>
          <w:rFonts w:hint="eastAsia" w:ascii="宋体" w:hAnsi="宋体" w:eastAsia="宋体" w:cs="宋体"/>
          <w:bCs/>
          <w:snapToGrid w:val="0"/>
          <w:color w:val="auto"/>
          <w:sz w:val="21"/>
          <w:szCs w:val="21"/>
          <w:highlight w:val="none"/>
        </w:rPr>
        <w:t>”及“投标文件对数量及单位应答”一栏必须详细填写投标产品的具体参数</w:t>
      </w:r>
      <w:r>
        <w:rPr>
          <w:rFonts w:hint="eastAsia" w:ascii="宋体" w:hAnsi="宋体" w:eastAsia="宋体" w:cs="宋体"/>
          <w:color w:val="auto"/>
          <w:sz w:val="21"/>
          <w:szCs w:val="21"/>
          <w:highlight w:val="none"/>
        </w:rPr>
        <w:t>值或</w:t>
      </w:r>
      <w:r>
        <w:rPr>
          <w:rFonts w:hint="eastAsia" w:ascii="宋体" w:hAnsi="宋体" w:eastAsia="宋体" w:cs="宋体"/>
          <w:bCs/>
          <w:snapToGrid w:val="0"/>
          <w:color w:val="auto"/>
          <w:sz w:val="21"/>
          <w:szCs w:val="21"/>
          <w:highlight w:val="none"/>
        </w:rPr>
        <w:t>功能要求表述、数量及单位，并应对照本</w:t>
      </w:r>
      <w:r>
        <w:rPr>
          <w:rFonts w:hint="eastAsia" w:ascii="宋体" w:hAnsi="宋体" w:eastAsia="宋体" w:cs="宋体"/>
          <w:bCs/>
          <w:snapToGrid w:val="0"/>
          <w:color w:val="auto"/>
          <w:sz w:val="21"/>
          <w:szCs w:val="21"/>
          <w:highlight w:val="none"/>
          <w:lang w:eastAsia="zh-CN"/>
        </w:rPr>
        <w:t>采购文件</w:t>
      </w:r>
      <w:r>
        <w:rPr>
          <w:rFonts w:hint="eastAsia" w:ascii="宋体" w:hAnsi="宋体" w:eastAsia="宋体" w:cs="宋体"/>
          <w:bCs/>
          <w:snapToGrid w:val="0"/>
          <w:color w:val="auto"/>
          <w:sz w:val="21"/>
          <w:szCs w:val="21"/>
          <w:highlight w:val="none"/>
        </w:rPr>
        <w:t>第六章《</w:t>
      </w:r>
      <w:r>
        <w:rPr>
          <w:rFonts w:hint="eastAsia" w:ascii="宋体" w:hAnsi="宋体" w:eastAsia="宋体" w:cs="宋体"/>
          <w:bCs/>
          <w:snapToGrid w:val="0"/>
          <w:color w:val="auto"/>
          <w:sz w:val="21"/>
          <w:szCs w:val="21"/>
          <w:highlight w:val="none"/>
          <w:lang w:eastAsia="zh-CN"/>
        </w:rPr>
        <w:t>采购需求及技术规格要求</w:t>
      </w:r>
      <w:r>
        <w:rPr>
          <w:rFonts w:hint="eastAsia" w:ascii="宋体" w:hAnsi="宋体" w:eastAsia="宋体" w:cs="宋体"/>
          <w:bCs/>
          <w:snapToGrid w:val="0"/>
          <w:color w:val="auto"/>
          <w:sz w:val="21"/>
          <w:szCs w:val="21"/>
          <w:highlight w:val="none"/>
        </w:rPr>
        <w:t>》中“具体参数</w:t>
      </w:r>
      <w:r>
        <w:rPr>
          <w:rFonts w:hint="eastAsia" w:ascii="宋体" w:hAnsi="宋体" w:eastAsia="宋体" w:cs="宋体"/>
          <w:color w:val="auto"/>
          <w:sz w:val="21"/>
          <w:szCs w:val="21"/>
          <w:highlight w:val="none"/>
        </w:rPr>
        <w:t>值或功能要求表述</w:t>
      </w:r>
      <w:r>
        <w:rPr>
          <w:rFonts w:hint="eastAsia" w:ascii="宋体" w:hAnsi="宋体" w:eastAsia="宋体" w:cs="宋体"/>
          <w:bCs/>
          <w:snapToGrid w:val="0"/>
          <w:color w:val="auto"/>
          <w:sz w:val="21"/>
          <w:szCs w:val="21"/>
          <w:highlight w:val="none"/>
        </w:rPr>
        <w:t>”及“数量及单位”对应响应。在本表中</w:t>
      </w:r>
      <w:r>
        <w:rPr>
          <w:rFonts w:hint="eastAsia" w:ascii="宋体" w:hAnsi="宋体" w:eastAsia="宋体" w:cs="宋体"/>
          <w:color w:val="auto"/>
          <w:sz w:val="21"/>
          <w:szCs w:val="21"/>
          <w:highlight w:val="none"/>
        </w:rPr>
        <w:t>未提供所投产品的具体参数值或功能要求表述、</w:t>
      </w:r>
      <w:r>
        <w:rPr>
          <w:rFonts w:hint="eastAsia" w:ascii="宋体" w:hAnsi="宋体" w:eastAsia="宋体" w:cs="宋体"/>
          <w:bCs/>
          <w:snapToGrid w:val="0"/>
          <w:color w:val="auto"/>
          <w:sz w:val="21"/>
          <w:szCs w:val="21"/>
          <w:highlight w:val="none"/>
        </w:rPr>
        <w:t>数量及单位</w:t>
      </w:r>
      <w:r>
        <w:rPr>
          <w:rFonts w:hint="eastAsia" w:ascii="宋体" w:hAnsi="宋体" w:eastAsia="宋体" w:cs="宋体"/>
          <w:color w:val="auto"/>
          <w:sz w:val="21"/>
          <w:szCs w:val="21"/>
          <w:highlight w:val="none"/>
        </w:rPr>
        <w:t>，或原文复制</w:t>
      </w:r>
      <w:r>
        <w:rPr>
          <w:rFonts w:hint="eastAsia" w:ascii="宋体" w:hAnsi="宋体" w:eastAsia="宋体" w:cs="宋体"/>
          <w:color w:val="auto"/>
          <w:sz w:val="21"/>
          <w:szCs w:val="21"/>
          <w:highlight w:val="none"/>
          <w:lang w:eastAsia="zh-CN"/>
        </w:rPr>
        <w:t>采购文件</w:t>
      </w:r>
      <w:r>
        <w:rPr>
          <w:rFonts w:hint="eastAsia" w:ascii="宋体" w:hAnsi="宋体" w:eastAsia="宋体" w:cs="宋体"/>
          <w:bCs/>
          <w:snapToGrid w:val="0"/>
          <w:color w:val="auto"/>
          <w:sz w:val="21"/>
          <w:szCs w:val="21"/>
          <w:highlight w:val="none"/>
        </w:rPr>
        <w:t>第</w:t>
      </w:r>
      <w:r>
        <w:rPr>
          <w:rFonts w:hint="eastAsia" w:ascii="宋体" w:hAnsi="宋体" w:eastAsia="宋体" w:cs="宋体"/>
          <w:bCs/>
          <w:snapToGrid w:val="0"/>
          <w:color w:val="auto"/>
          <w:sz w:val="21"/>
          <w:szCs w:val="21"/>
          <w:highlight w:val="none"/>
          <w:lang w:val="en-US" w:eastAsia="zh-CN"/>
        </w:rPr>
        <w:t>五</w:t>
      </w:r>
      <w:r>
        <w:rPr>
          <w:rFonts w:hint="eastAsia" w:ascii="宋体" w:hAnsi="宋体" w:eastAsia="宋体" w:cs="宋体"/>
          <w:bCs/>
          <w:snapToGrid w:val="0"/>
          <w:color w:val="auto"/>
          <w:sz w:val="21"/>
          <w:szCs w:val="21"/>
          <w:highlight w:val="none"/>
        </w:rPr>
        <w:t>章《</w:t>
      </w:r>
      <w:r>
        <w:rPr>
          <w:rFonts w:hint="eastAsia" w:ascii="宋体" w:hAnsi="宋体" w:eastAsia="宋体" w:cs="宋体"/>
          <w:bCs/>
          <w:snapToGrid w:val="0"/>
          <w:color w:val="auto"/>
          <w:sz w:val="21"/>
          <w:szCs w:val="21"/>
          <w:highlight w:val="none"/>
          <w:lang w:eastAsia="zh-CN"/>
        </w:rPr>
        <w:t>采购需求及技术规格要求</w:t>
      </w:r>
      <w:r>
        <w:rPr>
          <w:rFonts w:hint="eastAsia" w:ascii="宋体" w:hAnsi="宋体" w:eastAsia="宋体" w:cs="宋体"/>
          <w:bCs/>
          <w:snapToGrid w:val="0"/>
          <w:color w:val="auto"/>
          <w:sz w:val="21"/>
          <w:szCs w:val="21"/>
          <w:highlight w:val="none"/>
        </w:rPr>
        <w:t>》中</w:t>
      </w:r>
      <w:r>
        <w:rPr>
          <w:rFonts w:hint="eastAsia" w:ascii="宋体" w:hAnsi="宋体" w:eastAsia="宋体" w:cs="宋体"/>
          <w:color w:val="auto"/>
          <w:sz w:val="21"/>
          <w:szCs w:val="21"/>
          <w:highlight w:val="none"/>
        </w:rPr>
        <w:t>的具体参数值或功能要求表述内容，导致评标委员会据此认定未实质性响应</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技术要求或该项技术得分受到影响的，是投标人的风险。</w:t>
      </w:r>
    </w:p>
    <w:p w14:paraId="2EDFC7BF">
      <w:pPr>
        <w:pStyle w:val="72"/>
        <w:snapToGrid w:val="0"/>
        <w:spacing w:line="520" w:lineRule="exact"/>
        <w:ind w:leftChars="0"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3.“偏离情况”一栏应如实填写“正偏离”、“负偏离”或“无偏离”。</w:t>
      </w:r>
    </w:p>
    <w:p w14:paraId="4A665446">
      <w:pPr>
        <w:pStyle w:val="72"/>
        <w:snapToGrid w:val="0"/>
        <w:spacing w:line="520" w:lineRule="exact"/>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t>4．投标产品的</w:t>
      </w:r>
      <w:r>
        <w:rPr>
          <w:rFonts w:hint="eastAsia" w:ascii="宋体" w:hAnsi="宋体" w:eastAsia="宋体" w:cs="宋体"/>
          <w:color w:val="auto"/>
          <w:sz w:val="21"/>
          <w:szCs w:val="21"/>
          <w:highlight w:val="none"/>
        </w:rPr>
        <w:t>具体参数值或功能要求表述</w:t>
      </w:r>
      <w:r>
        <w:rPr>
          <w:rFonts w:hint="eastAsia" w:ascii="宋体" w:hAnsi="宋体" w:eastAsia="宋体" w:cs="宋体"/>
          <w:bCs/>
          <w:snapToGrid w:val="0"/>
          <w:color w:val="auto"/>
          <w:sz w:val="21"/>
          <w:szCs w:val="21"/>
          <w:highlight w:val="none"/>
        </w:rPr>
        <w:t>应尽可能在本部分“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要求提供或投标人认为需要提供的其它技术资料</w:t>
      </w:r>
      <w:r>
        <w:rPr>
          <w:rFonts w:hint="eastAsia" w:ascii="宋体" w:hAnsi="宋体" w:eastAsia="宋体" w:cs="宋体"/>
          <w:bCs/>
          <w:snapToGrid w:val="0"/>
          <w:color w:val="auto"/>
          <w:sz w:val="21"/>
          <w:szCs w:val="21"/>
          <w:highlight w:val="none"/>
        </w:rPr>
        <w:t>”</w:t>
      </w:r>
      <w:r>
        <w:rPr>
          <w:rFonts w:hint="eastAsia" w:ascii="宋体" w:hAnsi="宋体" w:eastAsia="宋体" w:cs="宋体"/>
          <w:color w:val="auto"/>
          <w:sz w:val="21"/>
          <w:szCs w:val="21"/>
          <w:highlight w:val="none"/>
        </w:rPr>
        <w:t>中提</w:t>
      </w:r>
      <w:r>
        <w:rPr>
          <w:rFonts w:hint="eastAsia" w:ascii="宋体" w:hAnsi="宋体" w:eastAsia="宋体" w:cs="宋体"/>
          <w:bCs/>
          <w:snapToGrid w:val="0"/>
          <w:color w:val="auto"/>
          <w:sz w:val="21"/>
          <w:szCs w:val="21"/>
          <w:highlight w:val="none"/>
        </w:rPr>
        <w:t>供相应的证</w:t>
      </w:r>
      <w:r>
        <w:rPr>
          <w:rFonts w:hint="eastAsia" w:ascii="宋体" w:hAnsi="宋体" w:eastAsia="宋体" w:cs="宋体"/>
          <w:color w:val="auto"/>
          <w:sz w:val="21"/>
          <w:szCs w:val="21"/>
          <w:highlight w:val="none"/>
        </w:rPr>
        <w:t>明材料，以证明投标人响应的真实性。投标人应在“说明”一栏中列出技术参数的证明材料名称及在投标文件中的相应页码。</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采购需求及技术规格要求</w:t>
      </w:r>
      <w:r>
        <w:rPr>
          <w:rFonts w:hint="eastAsia" w:ascii="宋体" w:hAnsi="宋体" w:eastAsia="宋体" w:cs="宋体"/>
          <w:color w:val="auto"/>
          <w:sz w:val="21"/>
          <w:szCs w:val="21"/>
          <w:highlight w:val="none"/>
        </w:rPr>
        <w:t>》中要求必须提供证明材料的，投标人必须提供,如未提供证明材料或证明材料无效的，将按照投标无效处理。</w:t>
      </w:r>
    </w:p>
    <w:p w14:paraId="42E94FD4">
      <w:pPr>
        <w:pStyle w:val="72"/>
        <w:snapToGrid w:val="0"/>
        <w:spacing w:line="520" w:lineRule="exact"/>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5．证明资料均为原件扫描件，只能为以下形式之一或多种，否则将按照证明材料无效处理。</w:t>
      </w:r>
    </w:p>
    <w:p w14:paraId="77265D9F">
      <w:pPr>
        <w:pStyle w:val="72"/>
        <w:snapToGrid w:val="0"/>
        <w:spacing w:line="520" w:lineRule="exact"/>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t>（1）</w:t>
      </w:r>
      <w:r>
        <w:rPr>
          <w:rFonts w:hint="eastAsia" w:ascii="宋体" w:hAnsi="宋体" w:eastAsia="宋体" w:cs="宋体"/>
          <w:color w:val="auto"/>
          <w:sz w:val="21"/>
          <w:szCs w:val="21"/>
          <w:highlight w:val="none"/>
        </w:rPr>
        <w:t>投标产品的官网截图：投标产品的制造商官方网站截图应是制造商对外公开发布的信息，提供外文官网截图的，必须同时提供加盖投标产品制造商公章的对应外文官网截图的中文翻译说明，评审依据以中文翻译内容为准，外文官网截图仅供参考。产品官网截图的尺寸和清晰度应该能够被阅读、识别和判断；</w:t>
      </w:r>
    </w:p>
    <w:p w14:paraId="22827624">
      <w:pPr>
        <w:pStyle w:val="72"/>
        <w:snapToGrid w:val="0"/>
        <w:spacing w:line="520" w:lineRule="exact"/>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t>（2）</w:t>
      </w:r>
      <w:r>
        <w:rPr>
          <w:rFonts w:hint="eastAsia" w:ascii="宋体" w:hAnsi="宋体" w:eastAsia="宋体" w:cs="宋体"/>
          <w:color w:val="auto"/>
          <w:sz w:val="21"/>
          <w:szCs w:val="21"/>
          <w:highlight w:val="none"/>
        </w:rPr>
        <w:t>投标产品说明书：投标产品说明书应为制造商公布或出具的中文产品说明书；提供外文说明书的，必须同时提供加盖投标产品制造商公章的对应中文翻译说明，评审依据以中文翻译内容为准，外文说明书仅供参考。产品说明书的尺寸和清晰度应该能够被阅读、识别和判断；</w:t>
      </w:r>
    </w:p>
    <w:p w14:paraId="65275860">
      <w:pPr>
        <w:pStyle w:val="72"/>
        <w:snapToGrid w:val="0"/>
        <w:spacing w:line="520" w:lineRule="exact"/>
        <w:ind w:leftChars="0"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3）投标产品的宣传彩页：宣传彩页应为制造商公布或出具的中文彩页；提供外文宣传彩页的，必须同时提供加盖投标产品制造商公章的对应中文翻译说明，评审依据以中文翻译内容为准，外文宣传彩页仅供参考。宣传彩页的尺寸和清晰度应该能够被阅读、识别和判断；</w:t>
      </w:r>
    </w:p>
    <w:p w14:paraId="2F65E871">
      <w:pPr>
        <w:autoSpaceDE w:val="0"/>
        <w:autoSpaceDN w:val="0"/>
        <w:adjustRightInd w:val="0"/>
        <w:snapToGrid w:val="0"/>
        <w:spacing w:line="5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bCs/>
          <w:snapToGrid w:val="0"/>
          <w:color w:val="auto"/>
          <w:kern w:val="0"/>
          <w:sz w:val="21"/>
          <w:szCs w:val="21"/>
          <w:highlight w:val="none"/>
        </w:rPr>
        <w:t>（4）具有我国检测（检验或测试）资质（格）的第三方检测（检验或测试）机构出具的检测、检验或测试报告：检测、检验或测试报告的尺寸和清晰度应该能够被阅读、识别和判断。</w:t>
      </w:r>
    </w:p>
    <w:p w14:paraId="652D54EF">
      <w:pPr>
        <w:autoSpaceDE w:val="0"/>
        <w:autoSpaceDN w:val="0"/>
        <w:adjustRightInd w:val="0"/>
        <w:snapToGrid w:val="0"/>
        <w:spacing w:line="360" w:lineRule="auto"/>
        <w:ind w:firstLine="480"/>
        <w:rPr>
          <w:rFonts w:hint="eastAsia" w:ascii="宋体" w:hAnsi="宋体" w:eastAsia="宋体" w:cs="宋体"/>
          <w:color w:val="auto"/>
          <w:szCs w:val="21"/>
          <w:highlight w:val="none"/>
          <w:lang w:val="zh-CN"/>
        </w:rPr>
      </w:pPr>
    </w:p>
    <w:p w14:paraId="7F9122D8">
      <w:pPr>
        <w:autoSpaceDE w:val="0"/>
        <w:autoSpaceDN w:val="0"/>
        <w:adjustRightInd w:val="0"/>
        <w:snapToGrid w:val="0"/>
        <w:spacing w:line="360" w:lineRule="auto"/>
        <w:ind w:firstLine="480"/>
        <w:rPr>
          <w:rFonts w:hint="eastAsia" w:ascii="宋体" w:hAnsi="宋体" w:eastAsia="宋体" w:cs="宋体"/>
          <w:color w:val="auto"/>
          <w:szCs w:val="21"/>
          <w:highlight w:val="none"/>
          <w:lang w:val="zh-CN"/>
        </w:rPr>
      </w:pPr>
    </w:p>
    <w:p w14:paraId="207E8194">
      <w:pPr>
        <w:autoSpaceDE w:val="0"/>
        <w:autoSpaceDN w:val="0"/>
        <w:adjustRightInd w:val="0"/>
        <w:snapToGrid w:val="0"/>
        <w:spacing w:line="520" w:lineRule="exact"/>
        <w:ind w:firstLine="48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投标单位全称（</w:t>
      </w:r>
      <w:r>
        <w:rPr>
          <w:rFonts w:hint="eastAsia" w:ascii="宋体" w:hAnsi="宋体" w:eastAsia="宋体" w:cs="宋体"/>
          <w:b/>
          <w:color w:val="auto"/>
          <w:szCs w:val="21"/>
          <w:highlight w:val="none"/>
          <w:lang w:val="zh-CN"/>
        </w:rPr>
        <w:t>加盖公章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 xml:space="preserve">                            </w:t>
      </w:r>
    </w:p>
    <w:p w14:paraId="4645A1E2">
      <w:pPr>
        <w:autoSpaceDE w:val="0"/>
        <w:autoSpaceDN w:val="0"/>
        <w:adjustRightInd w:val="0"/>
        <w:snapToGrid w:val="0"/>
        <w:spacing w:line="520" w:lineRule="exact"/>
        <w:ind w:firstLine="48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法定代表人或授权代理人（盖章或签字）：</w:t>
      </w:r>
      <w:r>
        <w:rPr>
          <w:rFonts w:hint="eastAsia" w:ascii="宋体" w:hAnsi="宋体" w:eastAsia="宋体" w:cs="宋体"/>
          <w:b/>
          <w:bCs/>
          <w:color w:val="auto"/>
          <w:szCs w:val="21"/>
          <w:highlight w:val="none"/>
          <w:u w:val="single"/>
        </w:rPr>
        <w:t xml:space="preserve">                </w:t>
      </w:r>
    </w:p>
    <w:p w14:paraId="66074760">
      <w:pPr>
        <w:autoSpaceDE w:val="0"/>
        <w:autoSpaceDN w:val="0"/>
        <w:adjustRightInd w:val="0"/>
        <w:snapToGrid w:val="0"/>
        <w:spacing w:line="520" w:lineRule="exact"/>
        <w:ind w:firstLine="48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xml:space="preserve">                                               </w:t>
      </w:r>
    </w:p>
    <w:p w14:paraId="037EC448">
      <w:pPr>
        <w:autoSpaceDE w:val="0"/>
        <w:autoSpaceDN w:val="0"/>
        <w:adjustRightInd w:val="0"/>
        <w:snapToGrid w:val="0"/>
        <w:spacing w:line="360" w:lineRule="auto"/>
        <w:ind w:firstLine="480"/>
        <w:rPr>
          <w:rFonts w:hint="eastAsia" w:ascii="宋体" w:hAnsi="宋体" w:eastAsia="宋体" w:cs="宋体"/>
          <w:color w:val="auto"/>
          <w:szCs w:val="21"/>
          <w:highlight w:val="none"/>
          <w:lang w:val="zh-CN"/>
        </w:rPr>
      </w:pPr>
    </w:p>
    <w:p w14:paraId="5B0C0035">
      <w:pPr>
        <w:widowControl/>
        <w:snapToGrid w:val="0"/>
        <w:jc w:val="left"/>
        <w:rPr>
          <w:rFonts w:hint="eastAsia" w:ascii="宋体" w:hAnsi="宋体" w:eastAsia="宋体" w:cs="宋体"/>
          <w:color w:val="auto"/>
          <w:sz w:val="23"/>
          <w:highlight w:val="none"/>
        </w:rPr>
        <w:sectPr>
          <w:pgSz w:w="11906" w:h="16838"/>
          <w:pgMar w:top="1814" w:right="1361" w:bottom="1701" w:left="1440" w:header="850" w:footer="992" w:gutter="0"/>
          <w:pgNumType w:fmt="decimal"/>
          <w:cols w:space="720" w:num="1"/>
          <w:titlePg/>
          <w:rtlGutter w:val="0"/>
          <w:docGrid w:type="lines" w:linePitch="317" w:charSpace="0"/>
        </w:sectPr>
      </w:pPr>
    </w:p>
    <w:p w14:paraId="60BDEEE7">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二、产品技术资料</w:t>
      </w:r>
    </w:p>
    <w:p w14:paraId="693BB9F1">
      <w:pPr>
        <w:snapToGrid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（有关投标产品的技术资料与相关证件）</w:t>
      </w:r>
    </w:p>
    <w:p w14:paraId="5996EE70">
      <w:pPr>
        <w:snapToGrid w:val="0"/>
        <w:jc w:val="center"/>
        <w:rPr>
          <w:rFonts w:hint="eastAsia" w:ascii="宋体" w:hAnsi="宋体" w:eastAsia="宋体" w:cs="宋体"/>
          <w:color w:val="auto"/>
          <w:highlight w:val="none"/>
          <w:lang w:val="zh-CN"/>
        </w:rPr>
      </w:pPr>
    </w:p>
    <w:p w14:paraId="52D46D95">
      <w:pPr>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lang w:val="zh-CN"/>
        </w:rPr>
        <w:br w:type="page"/>
      </w:r>
      <w:r>
        <w:rPr>
          <w:rFonts w:hint="eastAsia" w:ascii="宋体" w:hAnsi="宋体" w:eastAsia="宋体" w:cs="宋体"/>
          <w:b/>
          <w:color w:val="auto"/>
          <w:sz w:val="30"/>
          <w:szCs w:val="30"/>
          <w:highlight w:val="none"/>
        </w:rPr>
        <w:t>三、投标人认为需要提供的其它技术资料</w:t>
      </w:r>
    </w:p>
    <w:sectPr>
      <w:headerReference r:id="rId14" w:type="default"/>
      <w:footerReference r:id="rId15" w:type="default"/>
      <w:footerReference r:id="rId16" w:type="even"/>
      <w:pgSz w:w="11906" w:h="16838"/>
      <w:pgMar w:top="1814" w:right="1361" w:bottom="1701" w:left="1440" w:header="850" w:footer="992"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
    <w:altName w:val="Segoe Print"/>
    <w:panose1 w:val="05050102010706020507"/>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39B10">
    <w:pPr>
      <w:pStyle w:val="15"/>
      <w:tabs>
        <w:tab w:val="center" w:pos="4153"/>
        <w:tab w:val="right" w:pos="8306"/>
      </w:tabs>
      <w:jc w:val="center"/>
    </w:pPr>
  </w:p>
  <w:p w14:paraId="0079AF74">
    <w:pPr>
      <w:pStyle w:val="15"/>
      <w:tabs>
        <w:tab w:val="center" w:pos="4153"/>
        <w:tab w:val="right"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4DD6">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46C8B9">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5C46C8B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EC3AA">
    <w:pPr>
      <w:pStyle w:val="15"/>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6D2E9">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5106D2E9">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14:paraId="51D4F066">
    <w:pPr>
      <w:pStyle w:val="15"/>
      <w:tabs>
        <w:tab w:val="left" w:pos="425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E2C8B">
    <w:pPr>
      <w:pStyle w:val="15"/>
      <w:framePr w:wrap="around" w:vAnchor="text" w:hAnchor="margin" w:xAlign="center" w:y="1"/>
      <w:tabs>
        <w:tab w:val="center" w:pos="4153"/>
        <w:tab w:val="right" w:pos="8306"/>
      </w:tabs>
      <w:rPr>
        <w:rStyle w:val="37"/>
      </w:rPr>
    </w:pPr>
    <w:r>
      <w:fldChar w:fldCharType="begin"/>
    </w:r>
    <w:r>
      <w:rPr>
        <w:rStyle w:val="37"/>
      </w:rPr>
      <w:instrText xml:space="preserve">PAGE  </w:instrText>
    </w:r>
    <w:r>
      <w:fldChar w:fldCharType="separate"/>
    </w:r>
    <w:r>
      <w:fldChar w:fldCharType="end"/>
    </w:r>
  </w:p>
  <w:p w14:paraId="5E9CB76A">
    <w:pPr>
      <w:pStyle w:val="15"/>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2DDE">
    <w:pPr>
      <w:pStyle w:val="15"/>
      <w:tabs>
        <w:tab w:val="center" w:pos="4153"/>
        <w:tab w:val="right" w:pos="8306"/>
      </w:tabs>
      <w:jc w:val="center"/>
    </w:pPr>
  </w:p>
  <w:p w14:paraId="3D3D3D11">
    <w:pPr>
      <w:pStyle w:val="15"/>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62F5">
    <w:pPr>
      <w:pStyle w:val="15"/>
      <w:tabs>
        <w:tab w:val="center" w:pos="4153"/>
        <w:tab w:val="right" w:pos="8306"/>
      </w:tabs>
      <w:jc w:val="center"/>
    </w:pPr>
  </w:p>
  <w:p w14:paraId="7D06F5CF">
    <w:pPr>
      <w:pStyle w:val="15"/>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BE">
    <w:pPr>
      <w:pStyle w:val="15"/>
      <w:tabs>
        <w:tab w:val="center" w:pos="4153"/>
        <w:tab w:val="right" w:pos="8306"/>
      </w:tabs>
      <w:jc w:val="center"/>
    </w:pPr>
  </w:p>
  <w:p w14:paraId="61618069">
    <w:pPr>
      <w:pStyle w:val="15"/>
      <w:tabs>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954D">
    <w:pPr>
      <w:pStyle w:val="15"/>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322543">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14:paraId="7B322543">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14:paraId="3D63CD84">
    <w:pPr>
      <w:pStyle w:val="15"/>
      <w:tabs>
        <w:tab w:val="center" w:pos="4153"/>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6C5C5">
    <w:pPr>
      <w:pStyle w:val="15"/>
      <w:tabs>
        <w:tab w:val="center" w:pos="4153"/>
        <w:tab w:val="right"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F4802">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14:paraId="0F1F4802">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31CE0298">
    <w:pPr>
      <w:pStyle w:val="15"/>
      <w:tabs>
        <w:tab w:val="center" w:pos="4153"/>
        <w:tab w:val="right"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95510">
    <w:pPr>
      <w:pStyle w:val="15"/>
      <w:tabs>
        <w:tab w:val="center" w:pos="4153"/>
        <w:tab w:val="right" w:pos="8306"/>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78438E">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k5wccBAACa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7yhx3OLAL9+/XX78uvz8SpZF&#10;nz5AjWmPARPT8MYPuDVZt+wHdGbag4o2f5EQwTiqe76qK4dERH60Xq3XFYYExuYL4rDb8xAhvZXe&#10;kmw0NOL4iqr89B7SmDqn5GrOP2h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uk5wccBAACaAwAADgAAAAAAAAABACAAAAAeAQAAZHJzL2Uyb0RvYy54&#10;bWxQSwUGAAAAAAYABgBZAQAAVwUAAAAA&#10;">
              <v:fill on="f" focussize="0,0"/>
              <v:stroke on="f"/>
              <v:imagedata o:title=""/>
              <o:lock v:ext="edit" aspectratio="f"/>
              <v:textbox inset="0mm,0mm,0mm,0mm" style="mso-fit-shape-to-text:t;">
                <w:txbxContent>
                  <w:p w14:paraId="4B78438E">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14:paraId="4F8E7893">
    <w:pPr>
      <w:pStyle w:val="15"/>
      <w:tabs>
        <w:tab w:val="center" w:pos="4153"/>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B8D5">
    <w:pPr>
      <w:pStyle w:val="15"/>
      <w:tabs>
        <w:tab w:val="center" w:pos="4153"/>
        <w:tab w:val="right" w:pos="8306"/>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34141D">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r8EM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zP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ivwQyQEAAJoDAAAOAAAAAAAAAAEAIAAAAB4BAABkcnMvZTJvRG9j&#10;LnhtbFBLBQYAAAAABgAGAFkBAABZBQAAAAA=&#10;">
              <v:fill on="f" focussize="0,0"/>
              <v:stroke on="f"/>
              <v:imagedata o:title=""/>
              <o:lock v:ext="edit" aspectratio="f"/>
              <v:textbox inset="0mm,0mm,0mm,0mm" style="mso-fit-shape-to-text:t;">
                <w:txbxContent>
                  <w:p w14:paraId="1D34141D">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33C9A354">
    <w:pPr>
      <w:pStyle w:val="15"/>
      <w:tabs>
        <w:tab w:val="center" w:pos="4153"/>
        <w:tab w:val="right"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7EF6">
    <w:pPr>
      <w:pStyle w:val="104"/>
      <w:snapToGrid w:val="0"/>
      <w:jc w:val="center"/>
      <w:rPr>
        <w:rFonts w:ascii="Times New Roman" w:hAnsi="Times New Roman"/>
        <w:color w:val="000000"/>
        <w:sz w:val="18"/>
        <w:szCs w:val="18"/>
      </w:rPr>
    </w:pPr>
    <w:r>
      <w:rPr>
        <w:rFonts w:ascii="Times New Roman" w:hAnsi="Times New Roman"/>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1C6BAC48">
                          <w:pPr>
                            <w:pStyle w:val="104"/>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4"/>
                            <w:snapToGrid/>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ct/0tQAAAAFAQAADwAAAAAAAAABACAA&#10;AAAiAAAAZHJzL2Rvd25yZXYueG1sUEsBAhQAFAAAAAgAh07iQBE48j7YAQAArgMAAA4AAAAAAAAA&#10;AQAgAAAAIwEAAGRycy9lMm9Eb2MueG1sUEsFBgAAAAAGAAYAWQEAAG0FAAAAAA==&#10;">
              <v:fill on="f" focussize="0,0"/>
              <v:stroke on="f" weight="0.5pt"/>
              <v:imagedata o:title=""/>
              <o:lock v:ext="edit" aspectratio="f"/>
              <v:textbox inset="0mm,0mm,0mm,0mm" style="mso-fit-shape-to-text:t;">
                <w:txbxContent>
                  <w:p w14:paraId="1C6BAC48">
                    <w:pPr>
                      <w:pStyle w:val="104"/>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4"/>
                      <w:snapToGrid/>
                    </w:pPr>
                  </w:p>
                </w:txbxContent>
              </v:textbox>
            </v:rect>
          </w:pict>
        </mc:Fallback>
      </mc:AlternateContent>
    </w:r>
  </w:p>
  <w:p w14:paraId="64D1EE0E">
    <w:pPr>
      <w:pStyle w:val="104"/>
      <w:tabs>
        <w:tab w:val="left" w:pos="4621"/>
        <w:tab w:val="center" w:pos="4744"/>
      </w:tabs>
      <w:snapToGrid w:val="0"/>
      <w:ind w:right="360"/>
      <w:jc w:val="left"/>
      <w:rPr>
        <w:rFonts w:ascii="Times New Roman" w:hAnsi="Times New Roman"/>
        <w:color w:val="00000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D819">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89DD">
    <w:pPr>
      <w:pStyle w:val="20"/>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BEB34"/>
    <w:multiLevelType w:val="singleLevel"/>
    <w:tmpl w:val="836BEB34"/>
    <w:lvl w:ilvl="0" w:tentative="0">
      <w:start w:val="2"/>
      <w:numFmt w:val="decimal"/>
      <w:suff w:val="nothing"/>
      <w:lvlText w:val="（%1）"/>
      <w:lvlJc w:val="left"/>
    </w:lvl>
  </w:abstractNum>
  <w:abstractNum w:abstractNumId="1">
    <w:nsid w:val="B3FF0AD4"/>
    <w:multiLevelType w:val="singleLevel"/>
    <w:tmpl w:val="B3FF0AD4"/>
    <w:lvl w:ilvl="0" w:tentative="0">
      <w:start w:val="2"/>
      <w:numFmt w:val="decimal"/>
      <w:lvlText w:val="%1."/>
      <w:lvlJc w:val="left"/>
      <w:pPr>
        <w:tabs>
          <w:tab w:val="left" w:pos="312"/>
        </w:tabs>
      </w:pPr>
    </w:lvl>
  </w:abstractNum>
  <w:abstractNum w:abstractNumId="2">
    <w:nsid w:val="BA89D4A1"/>
    <w:multiLevelType w:val="singleLevel"/>
    <w:tmpl w:val="BA89D4A1"/>
    <w:lvl w:ilvl="0" w:tentative="0">
      <w:start w:val="1"/>
      <w:numFmt w:val="chineseCounting"/>
      <w:suff w:val="nothing"/>
      <w:lvlText w:val="%1、"/>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5A7551A"/>
    <w:multiLevelType w:val="singleLevel"/>
    <w:tmpl w:val="C5A7551A"/>
    <w:lvl w:ilvl="0" w:tentative="0">
      <w:start w:val="5"/>
      <w:numFmt w:val="chineseCounting"/>
      <w:suff w:val="space"/>
      <w:lvlText w:val="第%1章"/>
      <w:lvlJc w:val="left"/>
      <w:rPr>
        <w:rFonts w:hint="eastAsia"/>
      </w:rPr>
    </w:lvl>
  </w:abstractNum>
  <w:abstractNum w:abstractNumId="5">
    <w:nsid w:val="C8879AEF"/>
    <w:multiLevelType w:val="multilevel"/>
    <w:tmpl w:val="C8879AEF"/>
    <w:lvl w:ilvl="0" w:tentative="0">
      <w:start w:val="16"/>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1E59CB03"/>
    <w:multiLevelType w:val="singleLevel"/>
    <w:tmpl w:val="1E59CB03"/>
    <w:lvl w:ilvl="0" w:tentative="0">
      <w:start w:val="1"/>
      <w:numFmt w:val="decimal"/>
      <w:lvlText w:val="%1."/>
      <w:lvlJc w:val="left"/>
      <w:pPr>
        <w:tabs>
          <w:tab w:val="left" w:pos="312"/>
        </w:tabs>
      </w:pPr>
    </w:lvl>
  </w:abstractNum>
  <w:abstractNum w:abstractNumId="12">
    <w:nsid w:val="2A8F537B"/>
    <w:multiLevelType w:val="multilevel"/>
    <w:tmpl w:val="2A8F537B"/>
    <w:lvl w:ilvl="0" w:tentative="0">
      <w:start w:val="1"/>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13">
    <w:nsid w:val="5A241D34"/>
    <w:multiLevelType w:val="multilevel"/>
    <w:tmpl w:val="5A241D34"/>
    <w:lvl w:ilvl="0" w:tentative="0">
      <w:start w:val="1"/>
      <w:numFmt w:val="chineseCountingThousand"/>
      <w:suff w:val="nothing"/>
      <w:lvlText w:val="%1、"/>
      <w:lvlJc w:val="left"/>
      <w:pPr>
        <w:tabs>
          <w:tab w:val="left" w:pos="0"/>
        </w:tabs>
        <w:snapToGrid/>
        <w:ind w:left="72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14">
    <w:nsid w:val="7A0F6431"/>
    <w:multiLevelType w:val="singleLevel"/>
    <w:tmpl w:val="7A0F6431"/>
    <w:lvl w:ilvl="0" w:tentative="0">
      <w:start w:val="1"/>
      <w:numFmt w:val="decimal"/>
      <w:suff w:val="space"/>
      <w:lvlText w:val="%1."/>
      <w:lvlJc w:val="left"/>
    </w:lvl>
  </w:abstractNum>
  <w:num w:numId="1">
    <w:abstractNumId w:val="0"/>
  </w:num>
  <w:num w:numId="2">
    <w:abstractNumId w:val="12"/>
  </w:num>
  <w:num w:numId="3">
    <w:abstractNumId w:val="13"/>
  </w:num>
  <w:num w:numId="4">
    <w:abstractNumId w:val="5"/>
  </w:num>
  <w:num w:numId="5">
    <w:abstractNumId w:val="14"/>
  </w:num>
  <w:num w:numId="6">
    <w:abstractNumId w:val="6"/>
  </w:num>
  <w:num w:numId="7">
    <w:abstractNumId w:val="10"/>
  </w:num>
  <w:num w:numId="8">
    <w:abstractNumId w:val="8"/>
  </w:num>
  <w:num w:numId="9">
    <w:abstractNumId w:val="7"/>
  </w:num>
  <w:num w:numId="10">
    <w:abstractNumId w:val="3"/>
  </w:num>
  <w:num w:numId="11">
    <w:abstractNumId w:val="9"/>
  </w:num>
  <w:num w:numId="12">
    <w:abstractNumId w:val="4"/>
  </w:num>
  <w:num w:numId="13">
    <w:abstractNumId w:val="1"/>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NGNlODQ4Y2FjMWVhZTk5YTkyNTIyZmFjN2I5ODUifQ=="/>
  </w:docVars>
  <w:rsids>
    <w:rsidRoot w:val="00172A27"/>
    <w:rsid w:val="000013CA"/>
    <w:rsid w:val="00003B57"/>
    <w:rsid w:val="000065C9"/>
    <w:rsid w:val="00007068"/>
    <w:rsid w:val="00007A96"/>
    <w:rsid w:val="0001309C"/>
    <w:rsid w:val="0001595F"/>
    <w:rsid w:val="00016C02"/>
    <w:rsid w:val="00020C84"/>
    <w:rsid w:val="00022620"/>
    <w:rsid w:val="00023B38"/>
    <w:rsid w:val="00024369"/>
    <w:rsid w:val="00026279"/>
    <w:rsid w:val="0003336B"/>
    <w:rsid w:val="000355C3"/>
    <w:rsid w:val="00036857"/>
    <w:rsid w:val="00037091"/>
    <w:rsid w:val="00040453"/>
    <w:rsid w:val="00041A68"/>
    <w:rsid w:val="00042320"/>
    <w:rsid w:val="000475CC"/>
    <w:rsid w:val="000507FB"/>
    <w:rsid w:val="00051D91"/>
    <w:rsid w:val="0005571D"/>
    <w:rsid w:val="000572E7"/>
    <w:rsid w:val="000613FC"/>
    <w:rsid w:val="0006370A"/>
    <w:rsid w:val="00064619"/>
    <w:rsid w:val="00070848"/>
    <w:rsid w:val="00070E7C"/>
    <w:rsid w:val="00071117"/>
    <w:rsid w:val="00076680"/>
    <w:rsid w:val="000779B8"/>
    <w:rsid w:val="000811AB"/>
    <w:rsid w:val="00081489"/>
    <w:rsid w:val="00084429"/>
    <w:rsid w:val="00086FA2"/>
    <w:rsid w:val="00087F8D"/>
    <w:rsid w:val="00091CA8"/>
    <w:rsid w:val="00094065"/>
    <w:rsid w:val="00096291"/>
    <w:rsid w:val="00096A6C"/>
    <w:rsid w:val="000A320B"/>
    <w:rsid w:val="000A6971"/>
    <w:rsid w:val="000B0A23"/>
    <w:rsid w:val="000B27EC"/>
    <w:rsid w:val="000B357B"/>
    <w:rsid w:val="000B4CBF"/>
    <w:rsid w:val="000B6E03"/>
    <w:rsid w:val="000C38BF"/>
    <w:rsid w:val="000C4B94"/>
    <w:rsid w:val="000C5176"/>
    <w:rsid w:val="000C714F"/>
    <w:rsid w:val="000C7F5E"/>
    <w:rsid w:val="000D0332"/>
    <w:rsid w:val="000D2F7C"/>
    <w:rsid w:val="000D37A6"/>
    <w:rsid w:val="000D70FE"/>
    <w:rsid w:val="000D7516"/>
    <w:rsid w:val="000E0B6D"/>
    <w:rsid w:val="000E503E"/>
    <w:rsid w:val="000F03D1"/>
    <w:rsid w:val="000F128B"/>
    <w:rsid w:val="000F2000"/>
    <w:rsid w:val="000F2B70"/>
    <w:rsid w:val="000F2C0A"/>
    <w:rsid w:val="000F321D"/>
    <w:rsid w:val="000F48AA"/>
    <w:rsid w:val="000F6432"/>
    <w:rsid w:val="001009D3"/>
    <w:rsid w:val="00101CE8"/>
    <w:rsid w:val="0011065B"/>
    <w:rsid w:val="00110F4A"/>
    <w:rsid w:val="00111966"/>
    <w:rsid w:val="0011241B"/>
    <w:rsid w:val="00123719"/>
    <w:rsid w:val="00125BCF"/>
    <w:rsid w:val="00130D4E"/>
    <w:rsid w:val="00131677"/>
    <w:rsid w:val="00131F90"/>
    <w:rsid w:val="00132072"/>
    <w:rsid w:val="001352EE"/>
    <w:rsid w:val="00136D63"/>
    <w:rsid w:val="00140745"/>
    <w:rsid w:val="001460E9"/>
    <w:rsid w:val="00147739"/>
    <w:rsid w:val="0015269C"/>
    <w:rsid w:val="00165520"/>
    <w:rsid w:val="00172EC4"/>
    <w:rsid w:val="00173D1A"/>
    <w:rsid w:val="00177A00"/>
    <w:rsid w:val="001820D7"/>
    <w:rsid w:val="00186BF6"/>
    <w:rsid w:val="00186E9A"/>
    <w:rsid w:val="001900AD"/>
    <w:rsid w:val="00195B66"/>
    <w:rsid w:val="00197C7A"/>
    <w:rsid w:val="001A0038"/>
    <w:rsid w:val="001A007B"/>
    <w:rsid w:val="001A0864"/>
    <w:rsid w:val="001A1257"/>
    <w:rsid w:val="001A5A2F"/>
    <w:rsid w:val="001A5D7E"/>
    <w:rsid w:val="001A7170"/>
    <w:rsid w:val="001B4522"/>
    <w:rsid w:val="001B46BF"/>
    <w:rsid w:val="001C1494"/>
    <w:rsid w:val="001D2676"/>
    <w:rsid w:val="001D31F1"/>
    <w:rsid w:val="001D32F0"/>
    <w:rsid w:val="001D3521"/>
    <w:rsid w:val="001D36DA"/>
    <w:rsid w:val="001D393D"/>
    <w:rsid w:val="001D4E9D"/>
    <w:rsid w:val="001D51A5"/>
    <w:rsid w:val="001D5836"/>
    <w:rsid w:val="001E3CB0"/>
    <w:rsid w:val="001E4F4A"/>
    <w:rsid w:val="001E5A58"/>
    <w:rsid w:val="001F0894"/>
    <w:rsid w:val="001F2317"/>
    <w:rsid w:val="001F7698"/>
    <w:rsid w:val="00201972"/>
    <w:rsid w:val="00202A87"/>
    <w:rsid w:val="0020351E"/>
    <w:rsid w:val="00205E90"/>
    <w:rsid w:val="00213057"/>
    <w:rsid w:val="00214640"/>
    <w:rsid w:val="00215232"/>
    <w:rsid w:val="00216746"/>
    <w:rsid w:val="00216CA1"/>
    <w:rsid w:val="00221597"/>
    <w:rsid w:val="00222B8F"/>
    <w:rsid w:val="00224B90"/>
    <w:rsid w:val="002362B2"/>
    <w:rsid w:val="00237644"/>
    <w:rsid w:val="00237931"/>
    <w:rsid w:val="00241211"/>
    <w:rsid w:val="00242372"/>
    <w:rsid w:val="00242649"/>
    <w:rsid w:val="00242EA3"/>
    <w:rsid w:val="00246494"/>
    <w:rsid w:val="002510CF"/>
    <w:rsid w:val="0025569F"/>
    <w:rsid w:val="00255B99"/>
    <w:rsid w:val="002561CC"/>
    <w:rsid w:val="002578CA"/>
    <w:rsid w:val="002614D6"/>
    <w:rsid w:val="0026389F"/>
    <w:rsid w:val="00271372"/>
    <w:rsid w:val="00272B0C"/>
    <w:rsid w:val="002737E1"/>
    <w:rsid w:val="00275B51"/>
    <w:rsid w:val="00290B96"/>
    <w:rsid w:val="00291228"/>
    <w:rsid w:val="00292A2B"/>
    <w:rsid w:val="00292D4C"/>
    <w:rsid w:val="0029439F"/>
    <w:rsid w:val="00295ED7"/>
    <w:rsid w:val="00296CEC"/>
    <w:rsid w:val="00297751"/>
    <w:rsid w:val="00297D66"/>
    <w:rsid w:val="00297EE0"/>
    <w:rsid w:val="002A2680"/>
    <w:rsid w:val="002A3493"/>
    <w:rsid w:val="002A57EF"/>
    <w:rsid w:val="002A63EC"/>
    <w:rsid w:val="002B115F"/>
    <w:rsid w:val="002B2A1B"/>
    <w:rsid w:val="002B375A"/>
    <w:rsid w:val="002B65AA"/>
    <w:rsid w:val="002B6C8D"/>
    <w:rsid w:val="002C1DD4"/>
    <w:rsid w:val="002C225A"/>
    <w:rsid w:val="002C2290"/>
    <w:rsid w:val="002C3679"/>
    <w:rsid w:val="002D0C26"/>
    <w:rsid w:val="002D218F"/>
    <w:rsid w:val="002D2C6D"/>
    <w:rsid w:val="002D7990"/>
    <w:rsid w:val="002E249E"/>
    <w:rsid w:val="002E5C8C"/>
    <w:rsid w:val="002E7380"/>
    <w:rsid w:val="002E75A9"/>
    <w:rsid w:val="002F07D3"/>
    <w:rsid w:val="002F28E1"/>
    <w:rsid w:val="002F2F6A"/>
    <w:rsid w:val="002F4C2F"/>
    <w:rsid w:val="002F7652"/>
    <w:rsid w:val="0030075B"/>
    <w:rsid w:val="0030320D"/>
    <w:rsid w:val="00303E90"/>
    <w:rsid w:val="00306A7F"/>
    <w:rsid w:val="0031514A"/>
    <w:rsid w:val="003233D0"/>
    <w:rsid w:val="00323748"/>
    <w:rsid w:val="00334414"/>
    <w:rsid w:val="003358C1"/>
    <w:rsid w:val="0033607F"/>
    <w:rsid w:val="00336744"/>
    <w:rsid w:val="003427BC"/>
    <w:rsid w:val="00343C81"/>
    <w:rsid w:val="00344654"/>
    <w:rsid w:val="00344BA2"/>
    <w:rsid w:val="00346CA8"/>
    <w:rsid w:val="003511EA"/>
    <w:rsid w:val="0035218A"/>
    <w:rsid w:val="00352C14"/>
    <w:rsid w:val="00354299"/>
    <w:rsid w:val="0035447E"/>
    <w:rsid w:val="003544FF"/>
    <w:rsid w:val="003568F3"/>
    <w:rsid w:val="00366D0F"/>
    <w:rsid w:val="00370AA0"/>
    <w:rsid w:val="003712EB"/>
    <w:rsid w:val="00376406"/>
    <w:rsid w:val="00376CAC"/>
    <w:rsid w:val="003860E8"/>
    <w:rsid w:val="00390F60"/>
    <w:rsid w:val="00391BED"/>
    <w:rsid w:val="00391E04"/>
    <w:rsid w:val="003923AF"/>
    <w:rsid w:val="003949ED"/>
    <w:rsid w:val="0039501B"/>
    <w:rsid w:val="00395916"/>
    <w:rsid w:val="003968B5"/>
    <w:rsid w:val="003A0012"/>
    <w:rsid w:val="003A0475"/>
    <w:rsid w:val="003A27B7"/>
    <w:rsid w:val="003A29FA"/>
    <w:rsid w:val="003A37C6"/>
    <w:rsid w:val="003A40A3"/>
    <w:rsid w:val="003A4C9D"/>
    <w:rsid w:val="003A6AA3"/>
    <w:rsid w:val="003B00B4"/>
    <w:rsid w:val="003B035F"/>
    <w:rsid w:val="003B0DC9"/>
    <w:rsid w:val="003B338C"/>
    <w:rsid w:val="003B3C80"/>
    <w:rsid w:val="003B4439"/>
    <w:rsid w:val="003B47E6"/>
    <w:rsid w:val="003C30D1"/>
    <w:rsid w:val="003C7844"/>
    <w:rsid w:val="003D0A44"/>
    <w:rsid w:val="003D6F08"/>
    <w:rsid w:val="003D71C5"/>
    <w:rsid w:val="003D72E4"/>
    <w:rsid w:val="003D7AA7"/>
    <w:rsid w:val="003E3299"/>
    <w:rsid w:val="003E4E42"/>
    <w:rsid w:val="003E4F19"/>
    <w:rsid w:val="003F2F37"/>
    <w:rsid w:val="003F61F2"/>
    <w:rsid w:val="0040026F"/>
    <w:rsid w:val="00400882"/>
    <w:rsid w:val="004060EC"/>
    <w:rsid w:val="004071E6"/>
    <w:rsid w:val="0041503D"/>
    <w:rsid w:val="00424642"/>
    <w:rsid w:val="00426C63"/>
    <w:rsid w:val="00427F14"/>
    <w:rsid w:val="00427F77"/>
    <w:rsid w:val="00430EA0"/>
    <w:rsid w:val="004316A9"/>
    <w:rsid w:val="00433E8F"/>
    <w:rsid w:val="00434EFE"/>
    <w:rsid w:val="0043502F"/>
    <w:rsid w:val="004371C2"/>
    <w:rsid w:val="00441309"/>
    <w:rsid w:val="00444CB9"/>
    <w:rsid w:val="00444E2C"/>
    <w:rsid w:val="004547BA"/>
    <w:rsid w:val="004603BA"/>
    <w:rsid w:val="00461322"/>
    <w:rsid w:val="00461A9A"/>
    <w:rsid w:val="0046443E"/>
    <w:rsid w:val="00464CE2"/>
    <w:rsid w:val="004673DE"/>
    <w:rsid w:val="0047293F"/>
    <w:rsid w:val="004729B8"/>
    <w:rsid w:val="00472A63"/>
    <w:rsid w:val="00473C0F"/>
    <w:rsid w:val="00474B21"/>
    <w:rsid w:val="00474B87"/>
    <w:rsid w:val="00477DDA"/>
    <w:rsid w:val="00482282"/>
    <w:rsid w:val="00482CA1"/>
    <w:rsid w:val="004862AC"/>
    <w:rsid w:val="00487B6F"/>
    <w:rsid w:val="0049089B"/>
    <w:rsid w:val="00490DD5"/>
    <w:rsid w:val="004916E6"/>
    <w:rsid w:val="00492C44"/>
    <w:rsid w:val="00493C04"/>
    <w:rsid w:val="00497D66"/>
    <w:rsid w:val="004A3BD5"/>
    <w:rsid w:val="004A5C5D"/>
    <w:rsid w:val="004A63F8"/>
    <w:rsid w:val="004A78C5"/>
    <w:rsid w:val="004B21A3"/>
    <w:rsid w:val="004C0324"/>
    <w:rsid w:val="004C0C84"/>
    <w:rsid w:val="004C16A0"/>
    <w:rsid w:val="004C1E42"/>
    <w:rsid w:val="004C2323"/>
    <w:rsid w:val="004C3454"/>
    <w:rsid w:val="004C3A85"/>
    <w:rsid w:val="004C5A75"/>
    <w:rsid w:val="004D0294"/>
    <w:rsid w:val="004D5773"/>
    <w:rsid w:val="004D7187"/>
    <w:rsid w:val="004F27A3"/>
    <w:rsid w:val="004F6B60"/>
    <w:rsid w:val="004F7049"/>
    <w:rsid w:val="00501066"/>
    <w:rsid w:val="00507C72"/>
    <w:rsid w:val="0051369A"/>
    <w:rsid w:val="00515075"/>
    <w:rsid w:val="00516DD7"/>
    <w:rsid w:val="005220F8"/>
    <w:rsid w:val="00522E0B"/>
    <w:rsid w:val="005259CB"/>
    <w:rsid w:val="00530166"/>
    <w:rsid w:val="00533783"/>
    <w:rsid w:val="00537826"/>
    <w:rsid w:val="00541738"/>
    <w:rsid w:val="00541C5A"/>
    <w:rsid w:val="00544E5B"/>
    <w:rsid w:val="00546025"/>
    <w:rsid w:val="005506EA"/>
    <w:rsid w:val="0055231D"/>
    <w:rsid w:val="005577CD"/>
    <w:rsid w:val="00557DBE"/>
    <w:rsid w:val="0056305F"/>
    <w:rsid w:val="005633E4"/>
    <w:rsid w:val="00566C1A"/>
    <w:rsid w:val="00567338"/>
    <w:rsid w:val="0057169B"/>
    <w:rsid w:val="00571778"/>
    <w:rsid w:val="005729FB"/>
    <w:rsid w:val="00576164"/>
    <w:rsid w:val="0058005D"/>
    <w:rsid w:val="00582AEB"/>
    <w:rsid w:val="00583195"/>
    <w:rsid w:val="00585525"/>
    <w:rsid w:val="00586E47"/>
    <w:rsid w:val="00587B17"/>
    <w:rsid w:val="00587B31"/>
    <w:rsid w:val="00587EAD"/>
    <w:rsid w:val="005961D9"/>
    <w:rsid w:val="005963AB"/>
    <w:rsid w:val="005A4F30"/>
    <w:rsid w:val="005A5B52"/>
    <w:rsid w:val="005A5F79"/>
    <w:rsid w:val="005A769B"/>
    <w:rsid w:val="005A7B97"/>
    <w:rsid w:val="005B0150"/>
    <w:rsid w:val="005B1B25"/>
    <w:rsid w:val="005B2094"/>
    <w:rsid w:val="005B6E79"/>
    <w:rsid w:val="005C30CD"/>
    <w:rsid w:val="005C3BF4"/>
    <w:rsid w:val="005C3E2F"/>
    <w:rsid w:val="005C3EA2"/>
    <w:rsid w:val="005C7922"/>
    <w:rsid w:val="005D0197"/>
    <w:rsid w:val="005D18AB"/>
    <w:rsid w:val="005D5879"/>
    <w:rsid w:val="005D7C8E"/>
    <w:rsid w:val="005E007A"/>
    <w:rsid w:val="005E2380"/>
    <w:rsid w:val="005E5085"/>
    <w:rsid w:val="005E6696"/>
    <w:rsid w:val="005F2051"/>
    <w:rsid w:val="00600D30"/>
    <w:rsid w:val="006018BC"/>
    <w:rsid w:val="0060591F"/>
    <w:rsid w:val="00607DC2"/>
    <w:rsid w:val="0061282E"/>
    <w:rsid w:val="006217D2"/>
    <w:rsid w:val="00622EAD"/>
    <w:rsid w:val="00623C82"/>
    <w:rsid w:val="00627172"/>
    <w:rsid w:val="006328C1"/>
    <w:rsid w:val="006328E9"/>
    <w:rsid w:val="00633E5B"/>
    <w:rsid w:val="0063559C"/>
    <w:rsid w:val="0063684E"/>
    <w:rsid w:val="0064091C"/>
    <w:rsid w:val="00642564"/>
    <w:rsid w:val="00642C12"/>
    <w:rsid w:val="006443F5"/>
    <w:rsid w:val="00646FA4"/>
    <w:rsid w:val="006607C6"/>
    <w:rsid w:val="00665F43"/>
    <w:rsid w:val="00667302"/>
    <w:rsid w:val="00667D29"/>
    <w:rsid w:val="00670C57"/>
    <w:rsid w:val="00672A24"/>
    <w:rsid w:val="00677664"/>
    <w:rsid w:val="00680940"/>
    <w:rsid w:val="00683E8E"/>
    <w:rsid w:val="0069228B"/>
    <w:rsid w:val="006927AB"/>
    <w:rsid w:val="00692E6D"/>
    <w:rsid w:val="006A02DF"/>
    <w:rsid w:val="006A0556"/>
    <w:rsid w:val="006A0F84"/>
    <w:rsid w:val="006A1CF5"/>
    <w:rsid w:val="006A2985"/>
    <w:rsid w:val="006A401C"/>
    <w:rsid w:val="006A62E5"/>
    <w:rsid w:val="006A69CB"/>
    <w:rsid w:val="006A71C2"/>
    <w:rsid w:val="006A7EAC"/>
    <w:rsid w:val="006B037A"/>
    <w:rsid w:val="006B0A61"/>
    <w:rsid w:val="006B19B2"/>
    <w:rsid w:val="006B20E3"/>
    <w:rsid w:val="006B6DFF"/>
    <w:rsid w:val="006B7D2D"/>
    <w:rsid w:val="006C62A2"/>
    <w:rsid w:val="006D0B8C"/>
    <w:rsid w:val="006D3BFB"/>
    <w:rsid w:val="006D3DDE"/>
    <w:rsid w:val="006D7A9B"/>
    <w:rsid w:val="006E095D"/>
    <w:rsid w:val="006E11F6"/>
    <w:rsid w:val="006E51FD"/>
    <w:rsid w:val="006E61CA"/>
    <w:rsid w:val="006E6A1F"/>
    <w:rsid w:val="006E6E49"/>
    <w:rsid w:val="006E7E06"/>
    <w:rsid w:val="006F01C1"/>
    <w:rsid w:val="006F0A4A"/>
    <w:rsid w:val="006F0B43"/>
    <w:rsid w:val="006F33BA"/>
    <w:rsid w:val="006F55D1"/>
    <w:rsid w:val="006F569A"/>
    <w:rsid w:val="006F7C1D"/>
    <w:rsid w:val="007000BC"/>
    <w:rsid w:val="007023CE"/>
    <w:rsid w:val="0070267B"/>
    <w:rsid w:val="0070383F"/>
    <w:rsid w:val="007039D4"/>
    <w:rsid w:val="00707E65"/>
    <w:rsid w:val="007115D0"/>
    <w:rsid w:val="00711DA6"/>
    <w:rsid w:val="00715307"/>
    <w:rsid w:val="00724543"/>
    <w:rsid w:val="007261FC"/>
    <w:rsid w:val="00726206"/>
    <w:rsid w:val="00727AA7"/>
    <w:rsid w:val="00727C2C"/>
    <w:rsid w:val="00740D9D"/>
    <w:rsid w:val="0074160A"/>
    <w:rsid w:val="00741C66"/>
    <w:rsid w:val="00741F83"/>
    <w:rsid w:val="00743356"/>
    <w:rsid w:val="007439AF"/>
    <w:rsid w:val="0074444A"/>
    <w:rsid w:val="00746147"/>
    <w:rsid w:val="00753E7B"/>
    <w:rsid w:val="007545AD"/>
    <w:rsid w:val="00761E13"/>
    <w:rsid w:val="00765F64"/>
    <w:rsid w:val="007711CB"/>
    <w:rsid w:val="007735E4"/>
    <w:rsid w:val="00775347"/>
    <w:rsid w:val="007905AB"/>
    <w:rsid w:val="00792374"/>
    <w:rsid w:val="00792CC5"/>
    <w:rsid w:val="00793A58"/>
    <w:rsid w:val="00795D12"/>
    <w:rsid w:val="007A0115"/>
    <w:rsid w:val="007B2249"/>
    <w:rsid w:val="007B2FA3"/>
    <w:rsid w:val="007B3ED4"/>
    <w:rsid w:val="007B4469"/>
    <w:rsid w:val="007B50C5"/>
    <w:rsid w:val="007C0941"/>
    <w:rsid w:val="007C144E"/>
    <w:rsid w:val="007C2174"/>
    <w:rsid w:val="007C4F47"/>
    <w:rsid w:val="007C5C35"/>
    <w:rsid w:val="007C5D12"/>
    <w:rsid w:val="007C7DD2"/>
    <w:rsid w:val="007D49D5"/>
    <w:rsid w:val="007D4ED1"/>
    <w:rsid w:val="007D7EE4"/>
    <w:rsid w:val="007E195A"/>
    <w:rsid w:val="007E25CA"/>
    <w:rsid w:val="007E40CF"/>
    <w:rsid w:val="007E5A31"/>
    <w:rsid w:val="007F0B8E"/>
    <w:rsid w:val="007F3F12"/>
    <w:rsid w:val="007F4FC7"/>
    <w:rsid w:val="007F7367"/>
    <w:rsid w:val="00805488"/>
    <w:rsid w:val="00807D8D"/>
    <w:rsid w:val="00811706"/>
    <w:rsid w:val="0081186E"/>
    <w:rsid w:val="0081707E"/>
    <w:rsid w:val="00821398"/>
    <w:rsid w:val="008244E7"/>
    <w:rsid w:val="00830F7D"/>
    <w:rsid w:val="008311EF"/>
    <w:rsid w:val="00831E39"/>
    <w:rsid w:val="0083381E"/>
    <w:rsid w:val="00836338"/>
    <w:rsid w:val="00840E14"/>
    <w:rsid w:val="008416BB"/>
    <w:rsid w:val="00843D17"/>
    <w:rsid w:val="0084610D"/>
    <w:rsid w:val="00847BAC"/>
    <w:rsid w:val="0085128D"/>
    <w:rsid w:val="0085730B"/>
    <w:rsid w:val="00857925"/>
    <w:rsid w:val="00862E5E"/>
    <w:rsid w:val="00864F6C"/>
    <w:rsid w:val="00865A48"/>
    <w:rsid w:val="00867185"/>
    <w:rsid w:val="008706DC"/>
    <w:rsid w:val="00874489"/>
    <w:rsid w:val="00875E68"/>
    <w:rsid w:val="00876A8B"/>
    <w:rsid w:val="00883AEC"/>
    <w:rsid w:val="008A2D6C"/>
    <w:rsid w:val="008A36DE"/>
    <w:rsid w:val="008A430E"/>
    <w:rsid w:val="008A5D81"/>
    <w:rsid w:val="008A62C2"/>
    <w:rsid w:val="008A69AC"/>
    <w:rsid w:val="008B2345"/>
    <w:rsid w:val="008B385E"/>
    <w:rsid w:val="008B3B17"/>
    <w:rsid w:val="008B7192"/>
    <w:rsid w:val="008B7CB4"/>
    <w:rsid w:val="008C0D4D"/>
    <w:rsid w:val="008C2CB8"/>
    <w:rsid w:val="008C52AC"/>
    <w:rsid w:val="008C55B4"/>
    <w:rsid w:val="008C61C5"/>
    <w:rsid w:val="008D03B6"/>
    <w:rsid w:val="008D165C"/>
    <w:rsid w:val="008D7500"/>
    <w:rsid w:val="008E240A"/>
    <w:rsid w:val="008E33AE"/>
    <w:rsid w:val="008E37FC"/>
    <w:rsid w:val="008E4FA9"/>
    <w:rsid w:val="008E5712"/>
    <w:rsid w:val="008F07EA"/>
    <w:rsid w:val="008F18E0"/>
    <w:rsid w:val="008F1F84"/>
    <w:rsid w:val="008F4127"/>
    <w:rsid w:val="008F4D93"/>
    <w:rsid w:val="008F52F0"/>
    <w:rsid w:val="00902D82"/>
    <w:rsid w:val="00903135"/>
    <w:rsid w:val="0090467E"/>
    <w:rsid w:val="00904EB4"/>
    <w:rsid w:val="00906725"/>
    <w:rsid w:val="00911079"/>
    <w:rsid w:val="00911751"/>
    <w:rsid w:val="00911F8F"/>
    <w:rsid w:val="00912AA8"/>
    <w:rsid w:val="00923F3F"/>
    <w:rsid w:val="00926676"/>
    <w:rsid w:val="00931870"/>
    <w:rsid w:val="009326B1"/>
    <w:rsid w:val="00933EE5"/>
    <w:rsid w:val="00935638"/>
    <w:rsid w:val="0094155F"/>
    <w:rsid w:val="00941970"/>
    <w:rsid w:val="009439EF"/>
    <w:rsid w:val="009448E6"/>
    <w:rsid w:val="00951A0D"/>
    <w:rsid w:val="00953583"/>
    <w:rsid w:val="00960EF1"/>
    <w:rsid w:val="009624CD"/>
    <w:rsid w:val="0096287B"/>
    <w:rsid w:val="009630A9"/>
    <w:rsid w:val="0096571B"/>
    <w:rsid w:val="00967633"/>
    <w:rsid w:val="00972158"/>
    <w:rsid w:val="00973310"/>
    <w:rsid w:val="00975350"/>
    <w:rsid w:val="00975C12"/>
    <w:rsid w:val="00975F1F"/>
    <w:rsid w:val="00976C31"/>
    <w:rsid w:val="00980D32"/>
    <w:rsid w:val="0098389F"/>
    <w:rsid w:val="00984EAE"/>
    <w:rsid w:val="00986AE3"/>
    <w:rsid w:val="00986C3B"/>
    <w:rsid w:val="00987222"/>
    <w:rsid w:val="00987970"/>
    <w:rsid w:val="009908B5"/>
    <w:rsid w:val="00990E1E"/>
    <w:rsid w:val="00994F5D"/>
    <w:rsid w:val="00995451"/>
    <w:rsid w:val="009956D9"/>
    <w:rsid w:val="009966B7"/>
    <w:rsid w:val="00997B40"/>
    <w:rsid w:val="00997F7F"/>
    <w:rsid w:val="009A4D43"/>
    <w:rsid w:val="009B22E5"/>
    <w:rsid w:val="009B38F2"/>
    <w:rsid w:val="009B7FE3"/>
    <w:rsid w:val="009C2DCD"/>
    <w:rsid w:val="009C4731"/>
    <w:rsid w:val="009D0E4B"/>
    <w:rsid w:val="009D124C"/>
    <w:rsid w:val="009D1ACB"/>
    <w:rsid w:val="009D1B39"/>
    <w:rsid w:val="009D5426"/>
    <w:rsid w:val="009D5F4D"/>
    <w:rsid w:val="009D67D8"/>
    <w:rsid w:val="009D6B27"/>
    <w:rsid w:val="009E0503"/>
    <w:rsid w:val="009E0CEB"/>
    <w:rsid w:val="009E405E"/>
    <w:rsid w:val="009E493D"/>
    <w:rsid w:val="009E5816"/>
    <w:rsid w:val="009E7B43"/>
    <w:rsid w:val="009E7CAD"/>
    <w:rsid w:val="009F0DEA"/>
    <w:rsid w:val="009F4139"/>
    <w:rsid w:val="00A02AF0"/>
    <w:rsid w:val="00A03E42"/>
    <w:rsid w:val="00A054FA"/>
    <w:rsid w:val="00A07D5D"/>
    <w:rsid w:val="00A144F4"/>
    <w:rsid w:val="00A14B28"/>
    <w:rsid w:val="00A15A46"/>
    <w:rsid w:val="00A16663"/>
    <w:rsid w:val="00A210BB"/>
    <w:rsid w:val="00A22507"/>
    <w:rsid w:val="00A243CB"/>
    <w:rsid w:val="00A25F83"/>
    <w:rsid w:val="00A266BD"/>
    <w:rsid w:val="00A309CF"/>
    <w:rsid w:val="00A31277"/>
    <w:rsid w:val="00A31DD6"/>
    <w:rsid w:val="00A33210"/>
    <w:rsid w:val="00A3471D"/>
    <w:rsid w:val="00A35A48"/>
    <w:rsid w:val="00A36A45"/>
    <w:rsid w:val="00A415D0"/>
    <w:rsid w:val="00A42305"/>
    <w:rsid w:val="00A429AB"/>
    <w:rsid w:val="00A45961"/>
    <w:rsid w:val="00A46326"/>
    <w:rsid w:val="00A47379"/>
    <w:rsid w:val="00A520E9"/>
    <w:rsid w:val="00A55657"/>
    <w:rsid w:val="00A60E26"/>
    <w:rsid w:val="00A6699E"/>
    <w:rsid w:val="00A70581"/>
    <w:rsid w:val="00A7118C"/>
    <w:rsid w:val="00A72822"/>
    <w:rsid w:val="00A7471F"/>
    <w:rsid w:val="00A81C71"/>
    <w:rsid w:val="00A8233D"/>
    <w:rsid w:val="00A835C2"/>
    <w:rsid w:val="00A91879"/>
    <w:rsid w:val="00A946AA"/>
    <w:rsid w:val="00AA6A4F"/>
    <w:rsid w:val="00AA79B4"/>
    <w:rsid w:val="00AB1245"/>
    <w:rsid w:val="00AB35C6"/>
    <w:rsid w:val="00AB3A65"/>
    <w:rsid w:val="00AC0C05"/>
    <w:rsid w:val="00AC0F8E"/>
    <w:rsid w:val="00AD1722"/>
    <w:rsid w:val="00AD1E5E"/>
    <w:rsid w:val="00AD3B0E"/>
    <w:rsid w:val="00AD4694"/>
    <w:rsid w:val="00AD472E"/>
    <w:rsid w:val="00AD4D54"/>
    <w:rsid w:val="00AD6F7D"/>
    <w:rsid w:val="00AE36E3"/>
    <w:rsid w:val="00AE4B1C"/>
    <w:rsid w:val="00AE4ED4"/>
    <w:rsid w:val="00AE6E2A"/>
    <w:rsid w:val="00AF00C0"/>
    <w:rsid w:val="00AF2A1E"/>
    <w:rsid w:val="00AF3136"/>
    <w:rsid w:val="00AF6D2C"/>
    <w:rsid w:val="00B002D8"/>
    <w:rsid w:val="00B017DE"/>
    <w:rsid w:val="00B01991"/>
    <w:rsid w:val="00B01B8C"/>
    <w:rsid w:val="00B020B1"/>
    <w:rsid w:val="00B1078C"/>
    <w:rsid w:val="00B14041"/>
    <w:rsid w:val="00B179B1"/>
    <w:rsid w:val="00B17EAD"/>
    <w:rsid w:val="00B2345C"/>
    <w:rsid w:val="00B30413"/>
    <w:rsid w:val="00B30F4B"/>
    <w:rsid w:val="00B314E6"/>
    <w:rsid w:val="00B32603"/>
    <w:rsid w:val="00B33FBD"/>
    <w:rsid w:val="00B342B7"/>
    <w:rsid w:val="00B3479F"/>
    <w:rsid w:val="00B353DD"/>
    <w:rsid w:val="00B36B13"/>
    <w:rsid w:val="00B4277F"/>
    <w:rsid w:val="00B46070"/>
    <w:rsid w:val="00B51ADE"/>
    <w:rsid w:val="00B52178"/>
    <w:rsid w:val="00B522CE"/>
    <w:rsid w:val="00B53D41"/>
    <w:rsid w:val="00B6019C"/>
    <w:rsid w:val="00B65013"/>
    <w:rsid w:val="00B730C1"/>
    <w:rsid w:val="00B7318A"/>
    <w:rsid w:val="00B73EB9"/>
    <w:rsid w:val="00B740B3"/>
    <w:rsid w:val="00B74F49"/>
    <w:rsid w:val="00B75204"/>
    <w:rsid w:val="00B76D14"/>
    <w:rsid w:val="00B80BDE"/>
    <w:rsid w:val="00B82ED1"/>
    <w:rsid w:val="00B8448A"/>
    <w:rsid w:val="00B84E2A"/>
    <w:rsid w:val="00B8565B"/>
    <w:rsid w:val="00B8713A"/>
    <w:rsid w:val="00B93B6B"/>
    <w:rsid w:val="00B956E2"/>
    <w:rsid w:val="00B96913"/>
    <w:rsid w:val="00B96F65"/>
    <w:rsid w:val="00BA6528"/>
    <w:rsid w:val="00BA7B28"/>
    <w:rsid w:val="00BB18A8"/>
    <w:rsid w:val="00BB465D"/>
    <w:rsid w:val="00BB669F"/>
    <w:rsid w:val="00BB6901"/>
    <w:rsid w:val="00BC193A"/>
    <w:rsid w:val="00BC2C8E"/>
    <w:rsid w:val="00BC3A00"/>
    <w:rsid w:val="00BC4334"/>
    <w:rsid w:val="00BC54B0"/>
    <w:rsid w:val="00BC7509"/>
    <w:rsid w:val="00BC7800"/>
    <w:rsid w:val="00BD2772"/>
    <w:rsid w:val="00BD3642"/>
    <w:rsid w:val="00BD3742"/>
    <w:rsid w:val="00BD48F7"/>
    <w:rsid w:val="00BD6743"/>
    <w:rsid w:val="00BD7851"/>
    <w:rsid w:val="00BE2B74"/>
    <w:rsid w:val="00BE3494"/>
    <w:rsid w:val="00BE487F"/>
    <w:rsid w:val="00BE66BD"/>
    <w:rsid w:val="00BE74DF"/>
    <w:rsid w:val="00BF299B"/>
    <w:rsid w:val="00BF3B21"/>
    <w:rsid w:val="00BF46C9"/>
    <w:rsid w:val="00BF64A7"/>
    <w:rsid w:val="00C0214D"/>
    <w:rsid w:val="00C047C9"/>
    <w:rsid w:val="00C05F7E"/>
    <w:rsid w:val="00C068D0"/>
    <w:rsid w:val="00C11E7D"/>
    <w:rsid w:val="00C1243C"/>
    <w:rsid w:val="00C12880"/>
    <w:rsid w:val="00C128B6"/>
    <w:rsid w:val="00C1689F"/>
    <w:rsid w:val="00C172C1"/>
    <w:rsid w:val="00C27457"/>
    <w:rsid w:val="00C27EDB"/>
    <w:rsid w:val="00C31908"/>
    <w:rsid w:val="00C33406"/>
    <w:rsid w:val="00C3694F"/>
    <w:rsid w:val="00C40BDF"/>
    <w:rsid w:val="00C41A93"/>
    <w:rsid w:val="00C41CF8"/>
    <w:rsid w:val="00C43631"/>
    <w:rsid w:val="00C44042"/>
    <w:rsid w:val="00C46037"/>
    <w:rsid w:val="00C516B8"/>
    <w:rsid w:val="00C51946"/>
    <w:rsid w:val="00C51D4F"/>
    <w:rsid w:val="00C535E2"/>
    <w:rsid w:val="00C6558C"/>
    <w:rsid w:val="00C67F70"/>
    <w:rsid w:val="00C706EB"/>
    <w:rsid w:val="00C71D5E"/>
    <w:rsid w:val="00C76E33"/>
    <w:rsid w:val="00C83B03"/>
    <w:rsid w:val="00C85B26"/>
    <w:rsid w:val="00C866C2"/>
    <w:rsid w:val="00C91B8A"/>
    <w:rsid w:val="00C91C15"/>
    <w:rsid w:val="00C941FF"/>
    <w:rsid w:val="00CA0465"/>
    <w:rsid w:val="00CA1D2F"/>
    <w:rsid w:val="00CA3F9D"/>
    <w:rsid w:val="00CA4BEE"/>
    <w:rsid w:val="00CA67A0"/>
    <w:rsid w:val="00CB2167"/>
    <w:rsid w:val="00CB3CC8"/>
    <w:rsid w:val="00CC02D5"/>
    <w:rsid w:val="00CC1D15"/>
    <w:rsid w:val="00CC64E9"/>
    <w:rsid w:val="00CC671C"/>
    <w:rsid w:val="00CC6CCC"/>
    <w:rsid w:val="00CC7ACA"/>
    <w:rsid w:val="00CD1081"/>
    <w:rsid w:val="00CD2525"/>
    <w:rsid w:val="00CD34B5"/>
    <w:rsid w:val="00CE4F19"/>
    <w:rsid w:val="00D03221"/>
    <w:rsid w:val="00D049FB"/>
    <w:rsid w:val="00D06008"/>
    <w:rsid w:val="00D106D2"/>
    <w:rsid w:val="00D20989"/>
    <w:rsid w:val="00D24EDD"/>
    <w:rsid w:val="00D25FDA"/>
    <w:rsid w:val="00D30861"/>
    <w:rsid w:val="00D35E75"/>
    <w:rsid w:val="00D4408C"/>
    <w:rsid w:val="00D4596D"/>
    <w:rsid w:val="00D47E98"/>
    <w:rsid w:val="00D511BD"/>
    <w:rsid w:val="00D521B8"/>
    <w:rsid w:val="00D5333D"/>
    <w:rsid w:val="00D53C10"/>
    <w:rsid w:val="00D53CD8"/>
    <w:rsid w:val="00D62050"/>
    <w:rsid w:val="00D632CE"/>
    <w:rsid w:val="00D65022"/>
    <w:rsid w:val="00D65081"/>
    <w:rsid w:val="00D7146A"/>
    <w:rsid w:val="00D738C0"/>
    <w:rsid w:val="00D74972"/>
    <w:rsid w:val="00D77F46"/>
    <w:rsid w:val="00D80D61"/>
    <w:rsid w:val="00D80DBC"/>
    <w:rsid w:val="00D81486"/>
    <w:rsid w:val="00D844D2"/>
    <w:rsid w:val="00D85B91"/>
    <w:rsid w:val="00D873B5"/>
    <w:rsid w:val="00D90112"/>
    <w:rsid w:val="00D904BA"/>
    <w:rsid w:val="00D93FAB"/>
    <w:rsid w:val="00D975BA"/>
    <w:rsid w:val="00DA26FA"/>
    <w:rsid w:val="00DA49CB"/>
    <w:rsid w:val="00DB10B7"/>
    <w:rsid w:val="00DB41F5"/>
    <w:rsid w:val="00DC1FF3"/>
    <w:rsid w:val="00DC3CF3"/>
    <w:rsid w:val="00DC7517"/>
    <w:rsid w:val="00DC7B16"/>
    <w:rsid w:val="00DD1B99"/>
    <w:rsid w:val="00DD40BF"/>
    <w:rsid w:val="00DD7D83"/>
    <w:rsid w:val="00DE0D7A"/>
    <w:rsid w:val="00DE67E5"/>
    <w:rsid w:val="00DE72A2"/>
    <w:rsid w:val="00DF0294"/>
    <w:rsid w:val="00DF049A"/>
    <w:rsid w:val="00DF22CB"/>
    <w:rsid w:val="00DF2F93"/>
    <w:rsid w:val="00DF4668"/>
    <w:rsid w:val="00DF4809"/>
    <w:rsid w:val="00E02AEA"/>
    <w:rsid w:val="00E0700B"/>
    <w:rsid w:val="00E076DB"/>
    <w:rsid w:val="00E10BAF"/>
    <w:rsid w:val="00E10EB3"/>
    <w:rsid w:val="00E129AF"/>
    <w:rsid w:val="00E17552"/>
    <w:rsid w:val="00E177A2"/>
    <w:rsid w:val="00E21832"/>
    <w:rsid w:val="00E22473"/>
    <w:rsid w:val="00E225CA"/>
    <w:rsid w:val="00E24F3A"/>
    <w:rsid w:val="00E25C55"/>
    <w:rsid w:val="00E31A09"/>
    <w:rsid w:val="00E321FA"/>
    <w:rsid w:val="00E33937"/>
    <w:rsid w:val="00E3525B"/>
    <w:rsid w:val="00E3631A"/>
    <w:rsid w:val="00E41B1A"/>
    <w:rsid w:val="00E43A8E"/>
    <w:rsid w:val="00E46C74"/>
    <w:rsid w:val="00E54D58"/>
    <w:rsid w:val="00E55A1D"/>
    <w:rsid w:val="00E56347"/>
    <w:rsid w:val="00E60E1D"/>
    <w:rsid w:val="00E617C6"/>
    <w:rsid w:val="00E62104"/>
    <w:rsid w:val="00E6439E"/>
    <w:rsid w:val="00E6782F"/>
    <w:rsid w:val="00E70C05"/>
    <w:rsid w:val="00E72B0C"/>
    <w:rsid w:val="00E74A5D"/>
    <w:rsid w:val="00E74AF4"/>
    <w:rsid w:val="00E76C36"/>
    <w:rsid w:val="00E7754A"/>
    <w:rsid w:val="00E801AA"/>
    <w:rsid w:val="00E80DAC"/>
    <w:rsid w:val="00E80F7E"/>
    <w:rsid w:val="00E81727"/>
    <w:rsid w:val="00E834C4"/>
    <w:rsid w:val="00E84B49"/>
    <w:rsid w:val="00E87C3A"/>
    <w:rsid w:val="00E92574"/>
    <w:rsid w:val="00E928EA"/>
    <w:rsid w:val="00E9394C"/>
    <w:rsid w:val="00E97058"/>
    <w:rsid w:val="00EA1A4A"/>
    <w:rsid w:val="00EA336F"/>
    <w:rsid w:val="00EA7402"/>
    <w:rsid w:val="00EA7767"/>
    <w:rsid w:val="00EA79D7"/>
    <w:rsid w:val="00EB0B87"/>
    <w:rsid w:val="00EB2558"/>
    <w:rsid w:val="00EB314E"/>
    <w:rsid w:val="00EB4068"/>
    <w:rsid w:val="00EB52DD"/>
    <w:rsid w:val="00EC3A79"/>
    <w:rsid w:val="00EC52FD"/>
    <w:rsid w:val="00EC74CD"/>
    <w:rsid w:val="00ED0060"/>
    <w:rsid w:val="00ED01FA"/>
    <w:rsid w:val="00ED123B"/>
    <w:rsid w:val="00ED1735"/>
    <w:rsid w:val="00ED3964"/>
    <w:rsid w:val="00ED53A0"/>
    <w:rsid w:val="00ED7785"/>
    <w:rsid w:val="00EE0C87"/>
    <w:rsid w:val="00EE0DA9"/>
    <w:rsid w:val="00EE3CCB"/>
    <w:rsid w:val="00EE5482"/>
    <w:rsid w:val="00EE714C"/>
    <w:rsid w:val="00EE7B1B"/>
    <w:rsid w:val="00EF0D89"/>
    <w:rsid w:val="00EF1CC5"/>
    <w:rsid w:val="00EF45C1"/>
    <w:rsid w:val="00EF4754"/>
    <w:rsid w:val="00F018B4"/>
    <w:rsid w:val="00F06706"/>
    <w:rsid w:val="00F0689F"/>
    <w:rsid w:val="00F073AE"/>
    <w:rsid w:val="00F112B4"/>
    <w:rsid w:val="00F122E4"/>
    <w:rsid w:val="00F14CB0"/>
    <w:rsid w:val="00F15C8B"/>
    <w:rsid w:val="00F23E1C"/>
    <w:rsid w:val="00F25744"/>
    <w:rsid w:val="00F261F9"/>
    <w:rsid w:val="00F27F4D"/>
    <w:rsid w:val="00F32E93"/>
    <w:rsid w:val="00F3369A"/>
    <w:rsid w:val="00F338B8"/>
    <w:rsid w:val="00F346B1"/>
    <w:rsid w:val="00F35915"/>
    <w:rsid w:val="00F36A34"/>
    <w:rsid w:val="00F40556"/>
    <w:rsid w:val="00F408A4"/>
    <w:rsid w:val="00F41510"/>
    <w:rsid w:val="00F42974"/>
    <w:rsid w:val="00F43CD9"/>
    <w:rsid w:val="00F4433E"/>
    <w:rsid w:val="00F455D2"/>
    <w:rsid w:val="00F45C79"/>
    <w:rsid w:val="00F460DF"/>
    <w:rsid w:val="00F5232D"/>
    <w:rsid w:val="00F55CE1"/>
    <w:rsid w:val="00F637FA"/>
    <w:rsid w:val="00F7002D"/>
    <w:rsid w:val="00F70132"/>
    <w:rsid w:val="00F728BB"/>
    <w:rsid w:val="00F72E26"/>
    <w:rsid w:val="00F73CB4"/>
    <w:rsid w:val="00F74479"/>
    <w:rsid w:val="00F74C23"/>
    <w:rsid w:val="00F84475"/>
    <w:rsid w:val="00F872D2"/>
    <w:rsid w:val="00F93204"/>
    <w:rsid w:val="00FA232F"/>
    <w:rsid w:val="00FA2B0A"/>
    <w:rsid w:val="00FA373E"/>
    <w:rsid w:val="00FA61E0"/>
    <w:rsid w:val="00FB0BEE"/>
    <w:rsid w:val="00FB1A3B"/>
    <w:rsid w:val="00FB29C0"/>
    <w:rsid w:val="00FB6768"/>
    <w:rsid w:val="00FC0033"/>
    <w:rsid w:val="00FC175A"/>
    <w:rsid w:val="00FC4CCE"/>
    <w:rsid w:val="00FD0A91"/>
    <w:rsid w:val="00FD1883"/>
    <w:rsid w:val="00FD29B7"/>
    <w:rsid w:val="00FD36F3"/>
    <w:rsid w:val="00FD5387"/>
    <w:rsid w:val="00FD5986"/>
    <w:rsid w:val="00FD6A59"/>
    <w:rsid w:val="00FD7D01"/>
    <w:rsid w:val="00FE4859"/>
    <w:rsid w:val="00FE51D4"/>
    <w:rsid w:val="00FE7F37"/>
    <w:rsid w:val="00FF068A"/>
    <w:rsid w:val="00FF467A"/>
    <w:rsid w:val="00FF4BFA"/>
    <w:rsid w:val="00FF670E"/>
    <w:rsid w:val="00FF74D6"/>
    <w:rsid w:val="02D854F4"/>
    <w:rsid w:val="030C632B"/>
    <w:rsid w:val="040760DE"/>
    <w:rsid w:val="04563322"/>
    <w:rsid w:val="04861BFE"/>
    <w:rsid w:val="04D51FE6"/>
    <w:rsid w:val="04ED064B"/>
    <w:rsid w:val="04FD0E43"/>
    <w:rsid w:val="06664FA6"/>
    <w:rsid w:val="06896151"/>
    <w:rsid w:val="06D6572F"/>
    <w:rsid w:val="077D3BFA"/>
    <w:rsid w:val="08047C01"/>
    <w:rsid w:val="084D054A"/>
    <w:rsid w:val="08832677"/>
    <w:rsid w:val="089352C2"/>
    <w:rsid w:val="08C73375"/>
    <w:rsid w:val="09170D64"/>
    <w:rsid w:val="097A2900"/>
    <w:rsid w:val="09D14BF7"/>
    <w:rsid w:val="0A1317C5"/>
    <w:rsid w:val="0B4153D7"/>
    <w:rsid w:val="0B7A250D"/>
    <w:rsid w:val="0BBA7F0F"/>
    <w:rsid w:val="0BCB7E7C"/>
    <w:rsid w:val="0C1648D2"/>
    <w:rsid w:val="0C65074C"/>
    <w:rsid w:val="0C977EFD"/>
    <w:rsid w:val="0CAD19F6"/>
    <w:rsid w:val="0DCE16AD"/>
    <w:rsid w:val="0E213582"/>
    <w:rsid w:val="0E7E4E29"/>
    <w:rsid w:val="0EC23B25"/>
    <w:rsid w:val="0EFB604D"/>
    <w:rsid w:val="0F3976BA"/>
    <w:rsid w:val="0F807F9B"/>
    <w:rsid w:val="0FA725BF"/>
    <w:rsid w:val="0FC20651"/>
    <w:rsid w:val="108B75D1"/>
    <w:rsid w:val="10A55865"/>
    <w:rsid w:val="10DB24BE"/>
    <w:rsid w:val="1139137B"/>
    <w:rsid w:val="114E693C"/>
    <w:rsid w:val="11533FD0"/>
    <w:rsid w:val="11A55DED"/>
    <w:rsid w:val="12154069"/>
    <w:rsid w:val="121E43BD"/>
    <w:rsid w:val="123232DA"/>
    <w:rsid w:val="1242767D"/>
    <w:rsid w:val="127F2A6D"/>
    <w:rsid w:val="12E017EF"/>
    <w:rsid w:val="132844F5"/>
    <w:rsid w:val="1353534B"/>
    <w:rsid w:val="145D086C"/>
    <w:rsid w:val="146E23B0"/>
    <w:rsid w:val="14D001A5"/>
    <w:rsid w:val="14E44445"/>
    <w:rsid w:val="15571597"/>
    <w:rsid w:val="15842905"/>
    <w:rsid w:val="15FD4A00"/>
    <w:rsid w:val="16001892"/>
    <w:rsid w:val="16BC2C3E"/>
    <w:rsid w:val="16CF2B68"/>
    <w:rsid w:val="17EA55E8"/>
    <w:rsid w:val="1815318A"/>
    <w:rsid w:val="18252F90"/>
    <w:rsid w:val="18670E70"/>
    <w:rsid w:val="18C64FE3"/>
    <w:rsid w:val="190C1523"/>
    <w:rsid w:val="191C4C03"/>
    <w:rsid w:val="1938661F"/>
    <w:rsid w:val="19614D0C"/>
    <w:rsid w:val="19714CFC"/>
    <w:rsid w:val="1A044E07"/>
    <w:rsid w:val="1A272F1F"/>
    <w:rsid w:val="1ACD4A52"/>
    <w:rsid w:val="1B2C1CB6"/>
    <w:rsid w:val="1B8F6CAD"/>
    <w:rsid w:val="1BDA5940"/>
    <w:rsid w:val="1BF65671"/>
    <w:rsid w:val="1C27223D"/>
    <w:rsid w:val="1C8B5E21"/>
    <w:rsid w:val="1C9D32BE"/>
    <w:rsid w:val="1CAC3A9F"/>
    <w:rsid w:val="1E1176CC"/>
    <w:rsid w:val="1E897898"/>
    <w:rsid w:val="1EF45850"/>
    <w:rsid w:val="1FFB29C3"/>
    <w:rsid w:val="2027280B"/>
    <w:rsid w:val="204A544E"/>
    <w:rsid w:val="207D2CC2"/>
    <w:rsid w:val="208E02C2"/>
    <w:rsid w:val="20B86577"/>
    <w:rsid w:val="211B71F7"/>
    <w:rsid w:val="21284F64"/>
    <w:rsid w:val="216D41EA"/>
    <w:rsid w:val="21C37006"/>
    <w:rsid w:val="21C556E3"/>
    <w:rsid w:val="220105E1"/>
    <w:rsid w:val="225E44DE"/>
    <w:rsid w:val="226378C0"/>
    <w:rsid w:val="228C193C"/>
    <w:rsid w:val="22D3558E"/>
    <w:rsid w:val="22D7112A"/>
    <w:rsid w:val="236401D9"/>
    <w:rsid w:val="2366202D"/>
    <w:rsid w:val="24AA2566"/>
    <w:rsid w:val="25021537"/>
    <w:rsid w:val="25062640"/>
    <w:rsid w:val="25192081"/>
    <w:rsid w:val="26392962"/>
    <w:rsid w:val="266B0C57"/>
    <w:rsid w:val="267D65C2"/>
    <w:rsid w:val="2720766D"/>
    <w:rsid w:val="278B1E78"/>
    <w:rsid w:val="28227B69"/>
    <w:rsid w:val="285056DB"/>
    <w:rsid w:val="28720012"/>
    <w:rsid w:val="28924EE2"/>
    <w:rsid w:val="28C352C5"/>
    <w:rsid w:val="293C61E8"/>
    <w:rsid w:val="294855A0"/>
    <w:rsid w:val="29B5291C"/>
    <w:rsid w:val="29EB7F23"/>
    <w:rsid w:val="2A1918D4"/>
    <w:rsid w:val="2A21470E"/>
    <w:rsid w:val="2A6368D6"/>
    <w:rsid w:val="2AFC09DD"/>
    <w:rsid w:val="2B787759"/>
    <w:rsid w:val="2BB97093"/>
    <w:rsid w:val="2C2E4EA4"/>
    <w:rsid w:val="2CCF1C76"/>
    <w:rsid w:val="2D485B6F"/>
    <w:rsid w:val="2D7A0BEC"/>
    <w:rsid w:val="2D965D5F"/>
    <w:rsid w:val="2DCC2C44"/>
    <w:rsid w:val="2DD13DB6"/>
    <w:rsid w:val="2E62727C"/>
    <w:rsid w:val="2F757A12"/>
    <w:rsid w:val="2F8C1D02"/>
    <w:rsid w:val="3020098A"/>
    <w:rsid w:val="308A1ECC"/>
    <w:rsid w:val="30AB3C9C"/>
    <w:rsid w:val="30BA3228"/>
    <w:rsid w:val="319822E5"/>
    <w:rsid w:val="31AE2758"/>
    <w:rsid w:val="32371B9E"/>
    <w:rsid w:val="3270063B"/>
    <w:rsid w:val="32E34DE9"/>
    <w:rsid w:val="32FF13C6"/>
    <w:rsid w:val="33251B9F"/>
    <w:rsid w:val="333E6631"/>
    <w:rsid w:val="3399451F"/>
    <w:rsid w:val="34740F30"/>
    <w:rsid w:val="34B00DF7"/>
    <w:rsid w:val="34E92EBE"/>
    <w:rsid w:val="3508073B"/>
    <w:rsid w:val="357677F4"/>
    <w:rsid w:val="35F31AE6"/>
    <w:rsid w:val="35FC7E3E"/>
    <w:rsid w:val="362612E1"/>
    <w:rsid w:val="362B5215"/>
    <w:rsid w:val="36D87F64"/>
    <w:rsid w:val="36E05A91"/>
    <w:rsid w:val="36E22A7F"/>
    <w:rsid w:val="37800CA8"/>
    <w:rsid w:val="379F3E7D"/>
    <w:rsid w:val="37BF0060"/>
    <w:rsid w:val="38274CC1"/>
    <w:rsid w:val="387A1EE1"/>
    <w:rsid w:val="38D919D2"/>
    <w:rsid w:val="38E57781"/>
    <w:rsid w:val="39A405D1"/>
    <w:rsid w:val="39B62DC6"/>
    <w:rsid w:val="3A183A5D"/>
    <w:rsid w:val="3AC36B0B"/>
    <w:rsid w:val="3AF72836"/>
    <w:rsid w:val="3B63605D"/>
    <w:rsid w:val="3B675F1B"/>
    <w:rsid w:val="3B754F22"/>
    <w:rsid w:val="3B83611E"/>
    <w:rsid w:val="3BCB28D4"/>
    <w:rsid w:val="3C5D406A"/>
    <w:rsid w:val="3C5D4999"/>
    <w:rsid w:val="3C6F6C84"/>
    <w:rsid w:val="3D03224E"/>
    <w:rsid w:val="3D247196"/>
    <w:rsid w:val="3DC57508"/>
    <w:rsid w:val="3EAD3330"/>
    <w:rsid w:val="3EBC0F6D"/>
    <w:rsid w:val="3F765897"/>
    <w:rsid w:val="414B2380"/>
    <w:rsid w:val="41A459C1"/>
    <w:rsid w:val="41D924B7"/>
    <w:rsid w:val="41E30298"/>
    <w:rsid w:val="4219376C"/>
    <w:rsid w:val="42216A94"/>
    <w:rsid w:val="42DD2CD3"/>
    <w:rsid w:val="432558D0"/>
    <w:rsid w:val="433C2B75"/>
    <w:rsid w:val="43844094"/>
    <w:rsid w:val="43B05C99"/>
    <w:rsid w:val="43BD1C75"/>
    <w:rsid w:val="43FF1029"/>
    <w:rsid w:val="445571B2"/>
    <w:rsid w:val="447119F7"/>
    <w:rsid w:val="44E92F13"/>
    <w:rsid w:val="453B0DED"/>
    <w:rsid w:val="454E6894"/>
    <w:rsid w:val="45DF7135"/>
    <w:rsid w:val="461541A7"/>
    <w:rsid w:val="46DA22A9"/>
    <w:rsid w:val="473B55B9"/>
    <w:rsid w:val="48174857"/>
    <w:rsid w:val="483D6B71"/>
    <w:rsid w:val="485227A0"/>
    <w:rsid w:val="486F3408"/>
    <w:rsid w:val="48B1336F"/>
    <w:rsid w:val="48BD2EDE"/>
    <w:rsid w:val="48CA3755"/>
    <w:rsid w:val="48CB7FB5"/>
    <w:rsid w:val="498304FE"/>
    <w:rsid w:val="4A4F24F8"/>
    <w:rsid w:val="4A6667AB"/>
    <w:rsid w:val="4B581C65"/>
    <w:rsid w:val="4B647AD2"/>
    <w:rsid w:val="4BAF6ED2"/>
    <w:rsid w:val="4BD8686F"/>
    <w:rsid w:val="4BF43F5D"/>
    <w:rsid w:val="4C772DFC"/>
    <w:rsid w:val="4CAD5075"/>
    <w:rsid w:val="4D271C44"/>
    <w:rsid w:val="4D532753"/>
    <w:rsid w:val="4DD52DAC"/>
    <w:rsid w:val="4DE71420"/>
    <w:rsid w:val="4DE77B43"/>
    <w:rsid w:val="4DF331D8"/>
    <w:rsid w:val="4DF401C1"/>
    <w:rsid w:val="4EED2B15"/>
    <w:rsid w:val="4F163801"/>
    <w:rsid w:val="4F216FF1"/>
    <w:rsid w:val="4F3420F2"/>
    <w:rsid w:val="4FD32558"/>
    <w:rsid w:val="50312B12"/>
    <w:rsid w:val="505B3B47"/>
    <w:rsid w:val="50C35F7D"/>
    <w:rsid w:val="514847F9"/>
    <w:rsid w:val="514E2A79"/>
    <w:rsid w:val="51A70168"/>
    <w:rsid w:val="52083889"/>
    <w:rsid w:val="52271947"/>
    <w:rsid w:val="52496DD4"/>
    <w:rsid w:val="52765A2E"/>
    <w:rsid w:val="52A972A8"/>
    <w:rsid w:val="52AF0FCA"/>
    <w:rsid w:val="52E05364"/>
    <w:rsid w:val="52FA4011"/>
    <w:rsid w:val="534220C6"/>
    <w:rsid w:val="534A662A"/>
    <w:rsid w:val="534C4A87"/>
    <w:rsid w:val="538077D3"/>
    <w:rsid w:val="53A66616"/>
    <w:rsid w:val="54725459"/>
    <w:rsid w:val="54AF6350"/>
    <w:rsid w:val="55864B46"/>
    <w:rsid w:val="55F30602"/>
    <w:rsid w:val="55F31B5C"/>
    <w:rsid w:val="56F270DD"/>
    <w:rsid w:val="57027C80"/>
    <w:rsid w:val="584414A5"/>
    <w:rsid w:val="58BF4CF6"/>
    <w:rsid w:val="58CD39F3"/>
    <w:rsid w:val="59545718"/>
    <w:rsid w:val="599975CF"/>
    <w:rsid w:val="5A54147D"/>
    <w:rsid w:val="5A6955CC"/>
    <w:rsid w:val="5A7A5CF2"/>
    <w:rsid w:val="5A7E4585"/>
    <w:rsid w:val="5A9C6834"/>
    <w:rsid w:val="5BD94993"/>
    <w:rsid w:val="5C1E5F6E"/>
    <w:rsid w:val="5C303400"/>
    <w:rsid w:val="5CA23207"/>
    <w:rsid w:val="5CBF69C5"/>
    <w:rsid w:val="5CCE1BA4"/>
    <w:rsid w:val="5D0C3C88"/>
    <w:rsid w:val="5DFD3454"/>
    <w:rsid w:val="5E2F21EE"/>
    <w:rsid w:val="5ED847F9"/>
    <w:rsid w:val="5EF72E54"/>
    <w:rsid w:val="5F066F37"/>
    <w:rsid w:val="5F204545"/>
    <w:rsid w:val="5F3218C5"/>
    <w:rsid w:val="5FD10C1B"/>
    <w:rsid w:val="60DD1460"/>
    <w:rsid w:val="61102728"/>
    <w:rsid w:val="61553DC1"/>
    <w:rsid w:val="62A273D2"/>
    <w:rsid w:val="62A7194C"/>
    <w:rsid w:val="62F75797"/>
    <w:rsid w:val="63003DD7"/>
    <w:rsid w:val="63275156"/>
    <w:rsid w:val="63862067"/>
    <w:rsid w:val="64185184"/>
    <w:rsid w:val="64331721"/>
    <w:rsid w:val="645F30E8"/>
    <w:rsid w:val="647749B0"/>
    <w:rsid w:val="649F069D"/>
    <w:rsid w:val="64CD7F0C"/>
    <w:rsid w:val="662D0EBE"/>
    <w:rsid w:val="667C3ED7"/>
    <w:rsid w:val="66D82F83"/>
    <w:rsid w:val="66F57C08"/>
    <w:rsid w:val="66F84C39"/>
    <w:rsid w:val="66FC2C90"/>
    <w:rsid w:val="671B2C7E"/>
    <w:rsid w:val="675E48F0"/>
    <w:rsid w:val="67631039"/>
    <w:rsid w:val="67D03000"/>
    <w:rsid w:val="67D82A6B"/>
    <w:rsid w:val="682233EA"/>
    <w:rsid w:val="686265AB"/>
    <w:rsid w:val="695A37C3"/>
    <w:rsid w:val="698F0937"/>
    <w:rsid w:val="69A24DA5"/>
    <w:rsid w:val="6A332DCE"/>
    <w:rsid w:val="6B1F7C72"/>
    <w:rsid w:val="6B695C0C"/>
    <w:rsid w:val="6BCB6D0A"/>
    <w:rsid w:val="6BCC10DC"/>
    <w:rsid w:val="6CC73541"/>
    <w:rsid w:val="6D306C70"/>
    <w:rsid w:val="6D392803"/>
    <w:rsid w:val="6DA72EA8"/>
    <w:rsid w:val="6DB950A6"/>
    <w:rsid w:val="6E9D2D0E"/>
    <w:rsid w:val="6FAF3287"/>
    <w:rsid w:val="703F7B18"/>
    <w:rsid w:val="704C3BCC"/>
    <w:rsid w:val="705510A4"/>
    <w:rsid w:val="709A375B"/>
    <w:rsid w:val="70D407B6"/>
    <w:rsid w:val="72347C7C"/>
    <w:rsid w:val="7263672A"/>
    <w:rsid w:val="72700625"/>
    <w:rsid w:val="72713DE0"/>
    <w:rsid w:val="72BF70F1"/>
    <w:rsid w:val="72DA05E4"/>
    <w:rsid w:val="736A5E0C"/>
    <w:rsid w:val="73BF3DDA"/>
    <w:rsid w:val="74826A24"/>
    <w:rsid w:val="74850A24"/>
    <w:rsid w:val="749F77C0"/>
    <w:rsid w:val="74AE383E"/>
    <w:rsid w:val="74C745E5"/>
    <w:rsid w:val="74DD1A54"/>
    <w:rsid w:val="758C5AB9"/>
    <w:rsid w:val="75F65A0C"/>
    <w:rsid w:val="75FE0A8D"/>
    <w:rsid w:val="76206319"/>
    <w:rsid w:val="76CB1BBA"/>
    <w:rsid w:val="772A6DC9"/>
    <w:rsid w:val="77590AB9"/>
    <w:rsid w:val="78120820"/>
    <w:rsid w:val="781C2AF9"/>
    <w:rsid w:val="78B366C1"/>
    <w:rsid w:val="795603E5"/>
    <w:rsid w:val="79846429"/>
    <w:rsid w:val="79D55FA9"/>
    <w:rsid w:val="7A624E0F"/>
    <w:rsid w:val="7A6730A5"/>
    <w:rsid w:val="7AB4052D"/>
    <w:rsid w:val="7B0422C1"/>
    <w:rsid w:val="7B3D0FC5"/>
    <w:rsid w:val="7B590DA6"/>
    <w:rsid w:val="7B783090"/>
    <w:rsid w:val="7C174BFD"/>
    <w:rsid w:val="7C21417C"/>
    <w:rsid w:val="7C322E23"/>
    <w:rsid w:val="7C365DE8"/>
    <w:rsid w:val="7D132886"/>
    <w:rsid w:val="7D343267"/>
    <w:rsid w:val="7DC73C67"/>
    <w:rsid w:val="7E776713"/>
    <w:rsid w:val="7E821D70"/>
    <w:rsid w:val="7E842642"/>
    <w:rsid w:val="7E8C7B9F"/>
    <w:rsid w:val="7EB17AA9"/>
    <w:rsid w:val="7EBB70E0"/>
    <w:rsid w:val="7F7D79C0"/>
    <w:rsid w:val="7F986B66"/>
    <w:rsid w:val="7FDA7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link w:val="52"/>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3"/>
    <w:qFormat/>
    <w:uiPriority w:val="9"/>
    <w:pPr>
      <w:keepNext/>
      <w:keepLines/>
      <w:spacing w:before="260" w:beforeLines="0" w:after="260" w:afterLines="0" w:line="408" w:lineRule="auto"/>
      <w:outlineLvl w:val="2"/>
    </w:pPr>
    <w:rPr>
      <w:b/>
      <w:sz w:val="32"/>
    </w:rPr>
  </w:style>
  <w:style w:type="paragraph" w:styleId="5">
    <w:name w:val="heading 4"/>
    <w:basedOn w:val="1"/>
    <w:next w:val="1"/>
    <w:link w:val="54"/>
    <w:unhideWhenUsed/>
    <w:qFormat/>
    <w:uiPriority w:val="9"/>
    <w:pPr>
      <w:keepNext/>
      <w:keepLines/>
      <w:spacing w:before="280" w:after="290" w:line="374" w:lineRule="auto"/>
      <w:outlineLvl w:val="3"/>
    </w:pPr>
    <w:rPr>
      <w:rFonts w:ascii="Cambria" w:hAnsi="Cambria"/>
      <w:b/>
      <w:bCs/>
      <w:sz w:val="28"/>
      <w:szCs w:val="28"/>
    </w:rPr>
  </w:style>
  <w:style w:type="character" w:default="1" w:styleId="35">
    <w:name w:val="Default Paragraph Font"/>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eastAsia="宋体"/>
      <w:szCs w:val="22"/>
    </w:rPr>
  </w:style>
  <w:style w:type="paragraph" w:styleId="7">
    <w:name w:val="Normal Indent"/>
    <w:basedOn w:val="1"/>
    <w:qFormat/>
    <w:uiPriority w:val="0"/>
    <w:pPr>
      <w:widowControl/>
      <w:ind w:firstLine="420"/>
      <w:jc w:val="center"/>
    </w:pPr>
    <w:rPr>
      <w:b/>
      <w:kern w:val="0"/>
      <w:sz w:val="44"/>
      <w:szCs w:val="20"/>
    </w:rPr>
  </w:style>
  <w:style w:type="paragraph" w:styleId="8">
    <w:name w:val="annotation text"/>
    <w:basedOn w:val="1"/>
    <w:unhideWhenUsed/>
    <w:qFormat/>
    <w:uiPriority w:val="0"/>
    <w:pPr>
      <w:jc w:val="left"/>
    </w:pPr>
  </w:style>
  <w:style w:type="paragraph" w:styleId="9">
    <w:name w:val="Body Text"/>
    <w:basedOn w:val="1"/>
    <w:qFormat/>
    <w:uiPriority w:val="0"/>
    <w:rPr>
      <w:rFonts w:eastAsia="楷体_GB2312"/>
      <w:sz w:val="30"/>
    </w:rPr>
  </w:style>
  <w:style w:type="paragraph" w:styleId="10">
    <w:name w:val="Body Text Indent"/>
    <w:basedOn w:val="1"/>
    <w:next w:val="11"/>
    <w:qFormat/>
    <w:uiPriority w:val="0"/>
    <w:pPr>
      <w:spacing w:after="120" w:afterLines="0"/>
      <w:ind w:leftChars="200"/>
    </w:pPr>
    <w:rPr>
      <w:kern w:val="2"/>
      <w:sz w:val="21"/>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rPr>
      <w:rFonts w:ascii="宋体" w:hAnsi="Courier New" w:eastAsia="宋体"/>
      <w:kern w:val="2"/>
      <w:sz w:val="21"/>
      <w:lang w:val="en-US" w:eastAsia="zh-CN"/>
    </w:rPr>
  </w:style>
  <w:style w:type="paragraph" w:styleId="13">
    <w:name w:val="toc 8"/>
    <w:basedOn w:val="1"/>
    <w:next w:val="1"/>
    <w:link w:val="55"/>
    <w:unhideWhenUsed/>
    <w:qFormat/>
    <w:uiPriority w:val="39"/>
    <w:pPr>
      <w:ind w:left="2940" w:leftChars="1400"/>
    </w:pPr>
    <w:rPr>
      <w:rFonts w:ascii="Calibri" w:hAnsi="Calibri" w:eastAsia="宋体" w:cs="Times New Roman"/>
      <w:szCs w:val="22"/>
    </w:rPr>
  </w:style>
  <w:style w:type="paragraph" w:styleId="14">
    <w:name w:val="Date"/>
    <w:basedOn w:val="1"/>
    <w:next w:val="1"/>
    <w:qFormat/>
    <w:uiPriority w:val="0"/>
    <w:pPr>
      <w:ind w:leftChars="2500"/>
    </w:pPr>
    <w:rPr>
      <w:rFonts w:ascii="宋体" w:hAnsi="宋体" w:eastAsia="宋体"/>
      <w:kern w:val="2"/>
      <w:sz w:val="36"/>
      <w:lang w:val="en-US" w:eastAsia="zh-CN" w:bidi="ar-SA"/>
    </w:rPr>
  </w:style>
  <w:style w:type="paragraph" w:styleId="15">
    <w:name w:val="Balloon Text"/>
    <w:basedOn w:val="1"/>
    <w:next w:val="16"/>
    <w:link w:val="56"/>
    <w:qFormat/>
    <w:uiPriority w:val="0"/>
    <w:rPr>
      <w:sz w:val="18"/>
    </w:rPr>
  </w:style>
  <w:style w:type="paragraph" w:customStyle="1" w:styleId="16">
    <w:name w:val="列出段落2"/>
    <w:basedOn w:val="1"/>
    <w:next w:val="17"/>
    <w:link w:val="57"/>
    <w:qFormat/>
    <w:uiPriority w:val="0"/>
    <w:pPr>
      <w:ind w:firstLine="420" w:firstLineChars="200"/>
    </w:pPr>
    <w:rPr>
      <w:szCs w:val="24"/>
    </w:rPr>
  </w:style>
  <w:style w:type="paragraph" w:customStyle="1" w:styleId="17">
    <w:name w:val="Char"/>
    <w:basedOn w:val="1"/>
    <w:next w:val="1"/>
    <w:qFormat/>
    <w:uiPriority w:val="0"/>
    <w:pPr>
      <w:adjustRightInd w:val="0"/>
      <w:spacing w:line="360" w:lineRule="auto"/>
    </w:pPr>
    <w:rPr>
      <w:kern w:val="0"/>
      <w:sz w:val="24"/>
    </w:rPr>
  </w:style>
  <w:style w:type="paragraph" w:styleId="18">
    <w:name w:val="footer"/>
    <w:basedOn w:val="1"/>
    <w:qFormat/>
    <w:uiPriority w:val="99"/>
    <w:pPr>
      <w:tabs>
        <w:tab w:val="center" w:pos="4153"/>
        <w:tab w:val="right" w:pos="8306"/>
      </w:tabs>
      <w:snapToGrid w:val="0"/>
      <w:jc w:val="left"/>
    </w:pPr>
    <w:rPr>
      <w:sz w:val="18"/>
    </w:rPr>
  </w:style>
  <w:style w:type="paragraph" w:styleId="19">
    <w:name w:val="header"/>
    <w:basedOn w:val="1"/>
    <w:next w:val="20"/>
    <w:link w:val="58"/>
    <w:qFormat/>
    <w:uiPriority w:val="99"/>
    <w:pPr>
      <w:pBdr>
        <w:bottom w:val="single" w:color="auto" w:sz="6" w:space="1"/>
      </w:pBdr>
      <w:tabs>
        <w:tab w:val="center" w:pos="4153"/>
        <w:tab w:val="right" w:pos="8306"/>
      </w:tabs>
      <w:snapToGrid w:val="0"/>
      <w:jc w:val="center"/>
    </w:pPr>
    <w:rPr>
      <w:sz w:val="18"/>
    </w:rPr>
  </w:style>
  <w:style w:type="paragraph" w:styleId="20">
    <w:name w:val="annotation subject"/>
    <w:basedOn w:val="13"/>
    <w:next w:val="13"/>
    <w:link w:val="59"/>
    <w:unhideWhenUsed/>
    <w:qFormat/>
    <w:uiPriority w:val="99"/>
    <w:rPr>
      <w:b/>
      <w:bCs/>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Calibri" w:hAnsi="Calibri" w:eastAsia="宋体" w:cs="Times New Roman"/>
      <w:szCs w:val="22"/>
    </w:rPr>
  </w:style>
  <w:style w:type="paragraph" w:styleId="23">
    <w:name w:val="footnote text"/>
    <w:basedOn w:val="1"/>
    <w:next w:val="24"/>
    <w:unhideWhenUsed/>
    <w:qFormat/>
    <w:uiPriority w:val="99"/>
    <w:pPr>
      <w:snapToGrid w:val="0"/>
      <w:jc w:val="left"/>
    </w:pPr>
    <w:rPr>
      <w:sz w:val="18"/>
      <w:szCs w:val="18"/>
    </w:rPr>
  </w:style>
  <w:style w:type="paragraph" w:customStyle="1" w:styleId="24">
    <w:name w:val="xl33"/>
    <w:basedOn w:val="1"/>
    <w:next w:val="1"/>
    <w:link w:val="60"/>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楷体_GB2312" w:hAnsi="宋体" w:eastAsia="楷体_GB2312"/>
      <w:kern w:val="0"/>
      <w:sz w:val="24"/>
      <w:szCs w:val="24"/>
    </w:rPr>
  </w:style>
  <w:style w:type="paragraph" w:styleId="25">
    <w:name w:val="toc 6"/>
    <w:basedOn w:val="1"/>
    <w:next w:val="1"/>
    <w:unhideWhenUsed/>
    <w:qFormat/>
    <w:uiPriority w:val="39"/>
    <w:pPr>
      <w:ind w:left="2100" w:leftChars="1000"/>
    </w:pPr>
    <w:rPr>
      <w:rFonts w:ascii="Calibri" w:hAnsi="Calibri" w:eastAsia="宋体" w:cs="Times New Roman"/>
      <w:szCs w:val="22"/>
    </w:rPr>
  </w:style>
  <w:style w:type="paragraph" w:styleId="26">
    <w:name w:val="toc 2"/>
    <w:basedOn w:val="1"/>
    <w:next w:val="1"/>
    <w:link w:val="61"/>
    <w:qFormat/>
    <w:uiPriority w:val="39"/>
    <w:pPr>
      <w:ind w:left="420" w:leftChars="200"/>
    </w:pPr>
  </w:style>
  <w:style w:type="paragraph" w:styleId="27">
    <w:name w:val="toc 9"/>
    <w:basedOn w:val="1"/>
    <w:next w:val="1"/>
    <w:link w:val="62"/>
    <w:unhideWhenUsed/>
    <w:qFormat/>
    <w:uiPriority w:val="39"/>
    <w:pPr>
      <w:ind w:left="3360" w:leftChars="1600"/>
    </w:pPr>
    <w:rPr>
      <w:rFonts w:ascii="Calibri" w:hAnsi="Calibri" w:eastAsia="宋体" w:cs="Times New Roman"/>
      <w:szCs w:val="22"/>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0"/>
    </w:rPr>
  </w:style>
  <w:style w:type="paragraph" w:styleId="2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0">
    <w:name w:val="Title"/>
    <w:basedOn w:val="1"/>
    <w:next w:val="1"/>
    <w:link w:val="63"/>
    <w:qFormat/>
    <w:uiPriority w:val="0"/>
    <w:pPr>
      <w:widowControl/>
      <w:spacing w:before="240" w:beforeLines="0" w:after="60" w:afterLines="0"/>
      <w:jc w:val="center"/>
      <w:outlineLvl w:val="0"/>
    </w:pPr>
    <w:rPr>
      <w:rFonts w:ascii="Arial" w:hAnsi="Arial" w:cs="Arial"/>
      <w:b/>
      <w:bCs/>
      <w:kern w:val="0"/>
      <w:sz w:val="44"/>
      <w:szCs w:val="32"/>
    </w:rPr>
  </w:style>
  <w:style w:type="paragraph" w:styleId="31">
    <w:name w:val="Body Text First Indent"/>
    <w:basedOn w:val="9"/>
    <w:next w:val="25"/>
    <w:link w:val="64"/>
    <w:qFormat/>
    <w:uiPriority w:val="0"/>
    <w:pPr>
      <w:spacing w:after="120"/>
      <w:ind w:firstLine="420" w:firstLineChars="100"/>
    </w:pPr>
    <w:rPr>
      <w:sz w:val="21"/>
    </w:rPr>
  </w:style>
  <w:style w:type="paragraph" w:styleId="32">
    <w:name w:val="Body Text First Indent 2"/>
    <w:basedOn w:val="10"/>
    <w:qFormat/>
    <w:uiPriority w:val="0"/>
    <w:pPr>
      <w:ind w:firstLine="420" w:firstLineChars="200"/>
    </w:pPr>
    <w:rPr>
      <w:kern w:val="2"/>
      <w:sz w:val="21"/>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basedOn w:val="35"/>
    <w:qFormat/>
    <w:uiPriority w:val="0"/>
  </w:style>
  <w:style w:type="character" w:styleId="38">
    <w:name w:val="FollowedHyperlink"/>
    <w:basedOn w:val="35"/>
    <w:qFormat/>
    <w:uiPriority w:val="99"/>
    <w:rPr>
      <w:rFonts w:hint="eastAsia" w:ascii="微软雅黑" w:hAnsi="微软雅黑" w:eastAsia="微软雅黑" w:cs="微软雅黑"/>
      <w:color w:val="02396F"/>
      <w:u w:val="single"/>
    </w:rPr>
  </w:style>
  <w:style w:type="character" w:styleId="39">
    <w:name w:val="Emphasis"/>
    <w:basedOn w:val="35"/>
    <w:qFormat/>
    <w:uiPriority w:val="0"/>
    <w:rPr>
      <w:b/>
      <w:bCs/>
    </w:rPr>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99"/>
    <w:rPr>
      <w:rFonts w:hint="eastAsia" w:ascii="微软雅黑" w:hAnsi="微软雅黑" w:eastAsia="微软雅黑" w:cs="微软雅黑"/>
      <w:color w:val="02396F"/>
      <w:u w:val="single"/>
    </w:rPr>
  </w:style>
  <w:style w:type="character" w:styleId="45">
    <w:name w:val="HTML Code"/>
    <w:basedOn w:val="35"/>
    <w:qFormat/>
    <w:uiPriority w:val="0"/>
    <w:rPr>
      <w:rFonts w:hint="default" w:ascii="monospace" w:hAnsi="monospace" w:eastAsia="monospace" w:cs="monospace"/>
      <w:sz w:val="20"/>
    </w:rPr>
  </w:style>
  <w:style w:type="character" w:styleId="46">
    <w:name w:val="annotation reference"/>
    <w:unhideWhenUsed/>
    <w:qFormat/>
    <w:uiPriority w:val="99"/>
    <w:rPr>
      <w:sz w:val="21"/>
      <w:szCs w:val="21"/>
    </w:rPr>
  </w:style>
  <w:style w:type="character" w:styleId="47">
    <w:name w:val="HTML Cite"/>
    <w:basedOn w:val="35"/>
    <w:qFormat/>
    <w:uiPriority w:val="0"/>
  </w:style>
  <w:style w:type="character" w:styleId="48">
    <w:name w:val="footnote reference"/>
    <w:unhideWhenUsed/>
    <w:qFormat/>
    <w:uiPriority w:val="99"/>
    <w:rPr>
      <w:vertAlign w:val="superscript"/>
    </w:rPr>
  </w:style>
  <w:style w:type="character" w:styleId="49">
    <w:name w:val="HTML Keyboard"/>
    <w:basedOn w:val="35"/>
    <w:qFormat/>
    <w:uiPriority w:val="0"/>
    <w:rPr>
      <w:rFonts w:hint="default" w:ascii="monospace" w:hAnsi="monospace" w:eastAsia="monospace" w:cs="monospace"/>
      <w:sz w:val="20"/>
    </w:rPr>
  </w:style>
  <w:style w:type="character" w:styleId="50">
    <w:name w:val="HTML Sample"/>
    <w:basedOn w:val="35"/>
    <w:qFormat/>
    <w:uiPriority w:val="0"/>
    <w:rPr>
      <w:rFonts w:ascii="monospace" w:hAnsi="monospace" w:eastAsia="monospace" w:cs="monospace"/>
    </w:rPr>
  </w:style>
  <w:style w:type="character" w:customStyle="1" w:styleId="51">
    <w:name w:val="标题 1 Char"/>
    <w:link w:val="2"/>
    <w:qFormat/>
    <w:uiPriority w:val="0"/>
    <w:rPr>
      <w:b/>
      <w:kern w:val="44"/>
      <w:sz w:val="44"/>
    </w:rPr>
  </w:style>
  <w:style w:type="character" w:customStyle="1" w:styleId="52">
    <w:name w:val="标题 2 Char"/>
    <w:link w:val="3"/>
    <w:qFormat/>
    <w:uiPriority w:val="9"/>
    <w:rPr>
      <w:rFonts w:ascii="Arial" w:hAnsi="Arial" w:eastAsia="黑体"/>
      <w:b/>
      <w:bCs/>
      <w:kern w:val="2"/>
      <w:sz w:val="32"/>
      <w:szCs w:val="32"/>
    </w:rPr>
  </w:style>
  <w:style w:type="character" w:customStyle="1" w:styleId="53">
    <w:name w:val="标题 3 Char"/>
    <w:link w:val="4"/>
    <w:qFormat/>
    <w:uiPriority w:val="9"/>
    <w:rPr>
      <w:b/>
      <w:kern w:val="2"/>
      <w:sz w:val="32"/>
    </w:rPr>
  </w:style>
  <w:style w:type="character" w:customStyle="1" w:styleId="54">
    <w:name w:val="标题 4 Char"/>
    <w:link w:val="5"/>
    <w:semiHidden/>
    <w:qFormat/>
    <w:uiPriority w:val="9"/>
    <w:rPr>
      <w:rFonts w:ascii="Cambria" w:hAnsi="Cambria"/>
      <w:b/>
      <w:bCs/>
      <w:kern w:val="2"/>
      <w:sz w:val="28"/>
      <w:szCs w:val="28"/>
    </w:rPr>
  </w:style>
  <w:style w:type="character" w:customStyle="1" w:styleId="55">
    <w:name w:val="批注文字 Char"/>
    <w:link w:val="13"/>
    <w:qFormat/>
    <w:uiPriority w:val="99"/>
    <w:rPr>
      <w:rFonts w:ascii="Calibri" w:hAnsi="Calibri"/>
      <w:kern w:val="2"/>
      <w:sz w:val="21"/>
      <w:szCs w:val="22"/>
    </w:rPr>
  </w:style>
  <w:style w:type="character" w:customStyle="1" w:styleId="56">
    <w:name w:val="页脚 Char"/>
    <w:link w:val="15"/>
    <w:qFormat/>
    <w:uiPriority w:val="99"/>
    <w:rPr>
      <w:rFonts w:ascii="宋体" w:hAnsi="宋体" w:eastAsia="宋体"/>
      <w:kern w:val="2"/>
      <w:sz w:val="18"/>
      <w:lang w:val="en-US" w:eastAsia="zh-CN" w:bidi="ar-SA"/>
    </w:rPr>
  </w:style>
  <w:style w:type="character" w:customStyle="1" w:styleId="57">
    <w:name w:val="批注框文本 Char"/>
    <w:link w:val="16"/>
    <w:qFormat/>
    <w:uiPriority w:val="0"/>
    <w:rPr>
      <w:kern w:val="2"/>
      <w:sz w:val="18"/>
    </w:rPr>
  </w:style>
  <w:style w:type="character" w:customStyle="1" w:styleId="58">
    <w:name w:val="日期 Char"/>
    <w:link w:val="19"/>
    <w:qFormat/>
    <w:uiPriority w:val="0"/>
    <w:rPr>
      <w:rFonts w:ascii="宋体" w:hAnsi="宋体" w:eastAsia="宋体"/>
      <w:kern w:val="2"/>
      <w:sz w:val="36"/>
      <w:lang w:val="en-US" w:eastAsia="zh-CN" w:bidi="ar-SA"/>
    </w:rPr>
  </w:style>
  <w:style w:type="character" w:customStyle="1" w:styleId="59">
    <w:name w:val="批注主题 Char"/>
    <w:link w:val="20"/>
    <w:qFormat/>
    <w:uiPriority w:val="99"/>
    <w:rPr>
      <w:rFonts w:ascii="Calibri" w:hAnsi="Calibri"/>
      <w:b/>
      <w:bCs/>
      <w:kern w:val="2"/>
      <w:sz w:val="21"/>
      <w:szCs w:val="22"/>
    </w:rPr>
  </w:style>
  <w:style w:type="character" w:customStyle="1" w:styleId="60">
    <w:name w:val="脚注文本 Char"/>
    <w:link w:val="24"/>
    <w:qFormat/>
    <w:uiPriority w:val="99"/>
    <w:rPr>
      <w:kern w:val="2"/>
      <w:sz w:val="18"/>
      <w:szCs w:val="18"/>
    </w:rPr>
  </w:style>
  <w:style w:type="character" w:customStyle="1" w:styleId="61">
    <w:name w:val="标题 Char"/>
    <w:link w:val="26"/>
    <w:qFormat/>
    <w:uiPriority w:val="0"/>
    <w:rPr>
      <w:rFonts w:ascii="Arial" w:hAnsi="Arial" w:eastAsia="宋体" w:cs="Arial"/>
      <w:b/>
      <w:bCs/>
      <w:sz w:val="44"/>
      <w:szCs w:val="32"/>
      <w:lang w:val="en-US" w:eastAsia="zh-CN" w:bidi="ar-SA"/>
    </w:rPr>
  </w:style>
  <w:style w:type="character" w:customStyle="1" w:styleId="62">
    <w:name w:val="纯文本 Char"/>
    <w:link w:val="27"/>
    <w:qFormat/>
    <w:uiPriority w:val="0"/>
    <w:rPr>
      <w:rFonts w:ascii="宋体" w:hAnsi="Courier New" w:eastAsia="宋体"/>
      <w:kern w:val="2"/>
      <w:sz w:val="21"/>
      <w:lang w:val="en-US" w:eastAsia="zh-CN" w:bidi="ar-SA"/>
    </w:rPr>
  </w:style>
  <w:style w:type="character" w:customStyle="1" w:styleId="63">
    <w:name w:val="文档结构图 Char"/>
    <w:link w:val="30"/>
    <w:qFormat/>
    <w:uiPriority w:val="0"/>
    <w:rPr>
      <w:kern w:val="2"/>
      <w:sz w:val="21"/>
      <w:shd w:val="clear" w:color="auto" w:fill="000080"/>
    </w:rPr>
  </w:style>
  <w:style w:type="character" w:customStyle="1" w:styleId="64">
    <w:name w:val="正文文本缩进 2 Char"/>
    <w:link w:val="31"/>
    <w:qFormat/>
    <w:uiPriority w:val="0"/>
    <w:rPr>
      <w:kern w:val="2"/>
      <w:sz w:val="21"/>
    </w:rPr>
  </w:style>
  <w:style w:type="paragraph" w:styleId="65">
    <w:name w:val="List Paragraph"/>
    <w:basedOn w:val="1"/>
    <w:next w:val="66"/>
    <w:link w:val="68"/>
    <w:qFormat/>
    <w:uiPriority w:val="34"/>
    <w:pPr>
      <w:ind w:firstLine="420" w:firstLineChars="200"/>
    </w:pPr>
    <w:rPr>
      <w:sz w:val="36"/>
    </w:rPr>
  </w:style>
  <w:style w:type="paragraph" w:customStyle="1" w:styleId="66">
    <w:name w:val="图"/>
    <w:basedOn w:val="1"/>
    <w:next w:val="67"/>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67">
    <w:name w:val="List Paragraph1"/>
    <w:basedOn w:val="1"/>
    <w:next w:val="1"/>
    <w:qFormat/>
    <w:uiPriority w:val="0"/>
    <w:pPr>
      <w:ind w:firstLine="420" w:firstLineChars="200"/>
    </w:pPr>
    <w:rPr>
      <w:rFonts w:ascii="Courier New" w:hAnsi="Courier New" w:cs="Courier New"/>
      <w:color w:val="000000"/>
      <w:kern w:val="0"/>
      <w:sz w:val="24"/>
      <w:szCs w:val="24"/>
    </w:rPr>
  </w:style>
  <w:style w:type="character" w:customStyle="1" w:styleId="68">
    <w:name w:val="列出段落 Char"/>
    <w:link w:val="65"/>
    <w:qFormat/>
    <w:locked/>
    <w:uiPriority w:val="34"/>
    <w:rPr>
      <w:kern w:val="2"/>
      <w:sz w:val="36"/>
    </w:rPr>
  </w:style>
  <w:style w:type="paragraph" w:customStyle="1" w:styleId="69">
    <w:name w:val="列出段落1"/>
    <w:basedOn w:val="1"/>
    <w:link w:val="70"/>
    <w:qFormat/>
    <w:uiPriority w:val="99"/>
    <w:pPr>
      <w:ind w:firstLine="200" w:firstLineChars="200"/>
    </w:pPr>
    <w:rPr>
      <w:szCs w:val="24"/>
    </w:rPr>
  </w:style>
  <w:style w:type="character" w:customStyle="1" w:styleId="70">
    <w:name w:val="正文首行缩进 Char"/>
    <w:link w:val="69"/>
    <w:qFormat/>
    <w:uiPriority w:val="0"/>
    <w:rPr>
      <w:rFonts w:eastAsia="楷体_GB2312"/>
      <w:kern w:val="2"/>
      <w:sz w:val="21"/>
    </w:rPr>
  </w:style>
  <w:style w:type="character" w:customStyle="1" w:styleId="71">
    <w:name w:val="正文文本缩进 Char"/>
    <w:link w:val="72"/>
    <w:qFormat/>
    <w:uiPriority w:val="0"/>
    <w:rPr>
      <w:kern w:val="2"/>
      <w:sz w:val="21"/>
    </w:rPr>
  </w:style>
  <w:style w:type="paragraph" w:customStyle="1" w:styleId="72">
    <w:name w:val="Char1"/>
    <w:basedOn w:val="1"/>
    <w:next w:val="73"/>
    <w:link w:val="71"/>
    <w:qFormat/>
    <w:uiPriority w:val="0"/>
    <w:rPr>
      <w:rFonts w:ascii="Tahoma" w:hAnsi="Tahoma"/>
      <w:sz w:val="24"/>
    </w:rPr>
  </w:style>
  <w:style w:type="paragraph" w:customStyle="1" w:styleId="73">
    <w:name w:val="正文_16"/>
    <w:next w:val="1"/>
    <w:qFormat/>
    <w:uiPriority w:val="0"/>
    <w:rPr>
      <w:rFonts w:ascii="Times New Roman" w:hAnsi="Times New Roman" w:eastAsia="宋体" w:cs="Times New Roman"/>
      <w:sz w:val="21"/>
      <w:lang w:val="en-US" w:eastAsia="zh-CN" w:bidi="ar-SA"/>
    </w:rPr>
  </w:style>
  <w:style w:type="character" w:customStyle="1" w:styleId="74">
    <w:name w:val="redfilenumber"/>
    <w:basedOn w:val="35"/>
    <w:qFormat/>
    <w:uiPriority w:val="0"/>
    <w:rPr>
      <w:color w:val="BA2636"/>
      <w:sz w:val="18"/>
      <w:szCs w:val="18"/>
    </w:rPr>
  </w:style>
  <w:style w:type="character" w:customStyle="1" w:styleId="75">
    <w:name w:val="qxdate"/>
    <w:basedOn w:val="35"/>
    <w:qFormat/>
    <w:uiPriority w:val="0"/>
    <w:rPr>
      <w:color w:val="333333"/>
      <w:sz w:val="18"/>
      <w:szCs w:val="18"/>
    </w:rPr>
  </w:style>
  <w:style w:type="character" w:customStyle="1" w:styleId="76">
    <w:name w:val="displayarti"/>
    <w:basedOn w:val="35"/>
    <w:qFormat/>
    <w:uiPriority w:val="0"/>
    <w:rPr>
      <w:color w:val="FFFFFF"/>
      <w:shd w:val="clear" w:color="auto" w:fill="A00000"/>
    </w:rPr>
  </w:style>
  <w:style w:type="character" w:customStyle="1" w:styleId="77">
    <w:name w:val="layui-laypage-curr"/>
    <w:basedOn w:val="35"/>
    <w:qFormat/>
    <w:uiPriority w:val="0"/>
  </w:style>
  <w:style w:type="character" w:customStyle="1" w:styleId="78">
    <w:name w:val="prev2"/>
    <w:basedOn w:val="35"/>
    <w:qFormat/>
    <w:uiPriority w:val="0"/>
    <w:rPr>
      <w:rFonts w:hint="eastAsia" w:ascii="微软雅黑" w:hAnsi="微软雅黑" w:eastAsia="微软雅黑" w:cs="微软雅黑"/>
      <w:sz w:val="21"/>
      <w:szCs w:val="21"/>
    </w:rPr>
  </w:style>
  <w:style w:type="character" w:customStyle="1" w:styleId="79">
    <w:name w:val="页眉 Char"/>
    <w:qFormat/>
    <w:uiPriority w:val="99"/>
    <w:rPr>
      <w:kern w:val="2"/>
      <w:sz w:val="18"/>
    </w:rPr>
  </w:style>
  <w:style w:type="character" w:customStyle="1" w:styleId="80">
    <w:name w:val="正文文本 Char"/>
    <w:qFormat/>
    <w:uiPriority w:val="99"/>
    <w:rPr>
      <w:rFonts w:eastAsia="楷体_GB2312"/>
      <w:kern w:val="2"/>
      <w:sz w:val="30"/>
    </w:rPr>
  </w:style>
  <w:style w:type="character" w:customStyle="1" w:styleId="81">
    <w:name w:val="gjfg"/>
    <w:basedOn w:val="35"/>
    <w:qFormat/>
    <w:uiPriority w:val="0"/>
  </w:style>
  <w:style w:type="character" w:customStyle="1" w:styleId="82">
    <w:name w:val="g1481"/>
    <w:qFormat/>
    <w:uiPriority w:val="0"/>
    <w:rPr>
      <w:color w:val="5F897B"/>
      <w:sz w:val="22"/>
    </w:rPr>
  </w:style>
  <w:style w:type="character" w:customStyle="1" w:styleId="83">
    <w:name w:val="redfilefwwh"/>
    <w:basedOn w:val="35"/>
    <w:qFormat/>
    <w:uiPriority w:val="0"/>
    <w:rPr>
      <w:color w:val="BA2636"/>
      <w:sz w:val="18"/>
      <w:szCs w:val="18"/>
    </w:rPr>
  </w:style>
  <w:style w:type="character" w:customStyle="1" w:styleId="84">
    <w:name w:val="next"/>
    <w:basedOn w:val="35"/>
    <w:qFormat/>
    <w:uiPriority w:val="0"/>
    <w:rPr>
      <w:rFonts w:ascii="微软雅黑" w:hAnsi="微软雅黑" w:eastAsia="微软雅黑" w:cs="微软雅黑"/>
      <w:sz w:val="21"/>
      <w:szCs w:val="21"/>
    </w:rPr>
  </w:style>
  <w:style w:type="character" w:customStyle="1" w:styleId="85">
    <w:name w:val="next1"/>
    <w:basedOn w:val="35"/>
    <w:qFormat/>
    <w:uiPriority w:val="0"/>
    <w:rPr>
      <w:color w:val="888888"/>
    </w:rPr>
  </w:style>
  <w:style w:type="character" w:customStyle="1" w:styleId="86">
    <w:name w:val="cfdate"/>
    <w:basedOn w:val="35"/>
    <w:qFormat/>
    <w:uiPriority w:val="0"/>
    <w:rPr>
      <w:color w:val="333333"/>
      <w:sz w:val="18"/>
      <w:szCs w:val="18"/>
    </w:rPr>
  </w:style>
  <w:style w:type="character" w:customStyle="1" w:styleId="87">
    <w:name w:val="apple-converted-space"/>
    <w:basedOn w:val="35"/>
    <w:qFormat/>
    <w:uiPriority w:val="0"/>
  </w:style>
  <w:style w:type="paragraph" w:customStyle="1" w:styleId="8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标题6"/>
    <w:basedOn w:val="1"/>
    <w:next w:val="1"/>
    <w:qFormat/>
    <w:uiPriority w:val="0"/>
    <w:pPr>
      <w:spacing w:line="320" w:lineRule="exact"/>
    </w:pPr>
    <w:rPr>
      <w:rFonts w:ascii="楷体_GB2312" w:eastAsia="楷体_GB2312"/>
      <w:spacing w:val="10"/>
      <w:szCs w:val="21"/>
    </w:rPr>
  </w:style>
  <w:style w:type="paragraph" w:customStyle="1" w:styleId="90">
    <w:name w:val="Table Paragraph"/>
    <w:basedOn w:val="1"/>
    <w:next w:val="1"/>
    <w:qFormat/>
    <w:uiPriority w:val="1"/>
  </w:style>
  <w:style w:type="paragraph" w:customStyle="1" w:styleId="91">
    <w:name w:val="Char Char Char"/>
    <w:basedOn w:val="1"/>
    <w:next w:val="1"/>
    <w:qFormat/>
    <w:uiPriority w:val="0"/>
  </w:style>
  <w:style w:type="paragraph" w:styleId="92">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93">
    <w:name w:val="_Style 92"/>
    <w:basedOn w:val="2"/>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94">
    <w:name w:val="CM14"/>
    <w:basedOn w:val="95"/>
    <w:next w:val="95"/>
    <w:unhideWhenUsed/>
    <w:qFormat/>
    <w:uiPriority w:val="99"/>
    <w:pPr>
      <w:spacing w:line="546" w:lineRule="atLeast"/>
    </w:pPr>
    <w:rPr>
      <w:rFonts w:hint="default"/>
    </w:rPr>
  </w:style>
  <w:style w:type="paragraph" w:customStyle="1" w:styleId="95">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CM13"/>
    <w:basedOn w:val="95"/>
    <w:next w:val="95"/>
    <w:unhideWhenUsed/>
    <w:qFormat/>
    <w:uiPriority w:val="99"/>
    <w:pPr>
      <w:spacing w:line="520" w:lineRule="atLeast"/>
    </w:pPr>
    <w:rPr>
      <w:rFonts w:hint="default"/>
    </w:rPr>
  </w:style>
  <w:style w:type="paragraph" w:customStyle="1" w:styleId="97">
    <w:name w:val="CM11"/>
    <w:basedOn w:val="95"/>
    <w:next w:val="95"/>
    <w:unhideWhenUsed/>
    <w:qFormat/>
    <w:uiPriority w:val="99"/>
    <w:pPr>
      <w:spacing w:line="520" w:lineRule="atLeast"/>
    </w:pPr>
    <w:rPr>
      <w:rFonts w:hint="default"/>
    </w:rPr>
  </w:style>
  <w:style w:type="paragraph" w:customStyle="1" w:styleId="98">
    <w:name w:val="默认段落字体 Para Char"/>
    <w:basedOn w:val="1"/>
    <w:next w:val="1"/>
    <w:qFormat/>
    <w:uiPriority w:val="0"/>
    <w:rPr>
      <w:rFonts w:ascii="Tahoma" w:hAnsi="Tahoma"/>
      <w:sz w:val="24"/>
    </w:rPr>
  </w:style>
  <w:style w:type="table" w:customStyle="1" w:styleId="99">
    <w:name w:val="Table Normal"/>
    <w:unhideWhenUsed/>
    <w:qFormat/>
    <w:uiPriority w:val="2"/>
    <w:tblPr>
      <w:tblCellMar>
        <w:top w:w="0" w:type="dxa"/>
        <w:left w:w="0" w:type="dxa"/>
        <w:bottom w:w="0" w:type="dxa"/>
        <w:right w:w="0" w:type="dxa"/>
      </w:tblCellMar>
    </w:tblPr>
  </w:style>
  <w:style w:type="paragraph" w:customStyle="1" w:styleId="100">
    <w:name w:val="无间隔1"/>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10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02">
    <w:name w:val="NormalCharacter"/>
    <w:qFormat/>
    <w:uiPriority w:val="0"/>
    <w:rPr>
      <w:rFonts w:ascii="Times New Roman" w:hAnsi="Times New Roman" w:eastAsia="宋体"/>
    </w:rPr>
  </w:style>
  <w:style w:type="paragraph" w:customStyle="1" w:styleId="103">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4">
    <w:name w:val="正文1"/>
    <w:link w:val="108"/>
    <w:qFormat/>
    <w:uiPriority w:val="0"/>
    <w:pPr>
      <w:widowControl w:val="0"/>
      <w:snapToGrid/>
      <w:jc w:val="both"/>
    </w:pPr>
    <w:rPr>
      <w:rFonts w:hint="default" w:ascii="Calibri" w:hAnsi="Calibri" w:eastAsia="宋体" w:cs="Times New Roman"/>
      <w:sz w:val="21"/>
      <w:szCs w:val="22"/>
      <w:lang w:val="en-US" w:eastAsia="zh-CN" w:bidi="ar-SA"/>
    </w:rPr>
  </w:style>
  <w:style w:type="paragraph" w:customStyle="1" w:styleId="105">
    <w:name w:val="普通(网站)1"/>
    <w:basedOn w:val="104"/>
    <w:qFormat/>
    <w:uiPriority w:val="0"/>
    <w:pPr>
      <w:widowControl/>
      <w:snapToGrid/>
      <w:spacing w:before="100" w:beforeAutospacing="1" w:after="100" w:afterAutospacing="1"/>
      <w:jc w:val="left"/>
    </w:pPr>
    <w:rPr>
      <w:rFonts w:ascii="??" w:hAnsi="??"/>
      <w:sz w:val="24"/>
      <w:szCs w:val="24"/>
    </w:rPr>
  </w:style>
  <w:style w:type="character" w:customStyle="1" w:styleId="106">
    <w:name w:val="要点1"/>
    <w:basedOn w:val="107"/>
    <w:link w:val="104"/>
    <w:qFormat/>
    <w:uiPriority w:val="0"/>
    <w:rPr>
      <w:rFonts w:hint="default" w:ascii="Calibri" w:hAnsi="Calibri" w:eastAsia="宋体" w:cs="Times New Roman"/>
      <w:sz w:val="21"/>
      <w:szCs w:val="22"/>
      <w:lang w:val="en-US" w:eastAsia="zh-CN" w:bidi="ar-SA"/>
    </w:rPr>
  </w:style>
  <w:style w:type="character" w:customStyle="1" w:styleId="107">
    <w:name w:val="默认段落字体1"/>
    <w:link w:val="104"/>
    <w:qFormat/>
    <w:uiPriority w:val="0"/>
  </w:style>
  <w:style w:type="character" w:customStyle="1" w:styleId="108">
    <w:name w:val="强调1"/>
    <w:basedOn w:val="107"/>
    <w:link w:val="104"/>
    <w:qFormat/>
    <w:uiPriority w:val="0"/>
    <w:rPr>
      <w:color w:val="CC0000"/>
    </w:rPr>
  </w:style>
  <w:style w:type="paragraph" w:customStyle="1" w:styleId="109">
    <w:name w:val="标题1"/>
    <w:basedOn w:val="104"/>
    <w:next w:val="104"/>
    <w:qFormat/>
    <w:uiPriority w:val="0"/>
    <w:pPr>
      <w:snapToGrid/>
      <w:spacing w:before="240" w:after="60" w:line="420" w:lineRule="atLeast"/>
      <w:jc w:val="center"/>
      <w:outlineLvl w:val="0"/>
    </w:pPr>
    <w:rPr>
      <w:rFonts w:ascii="Arial" w:hAnsi="Arial"/>
      <w:b/>
      <w:sz w:val="32"/>
    </w:rPr>
  </w:style>
  <w:style w:type="paragraph" w:customStyle="1" w:styleId="110">
    <w:name w:val="标题 21"/>
    <w:basedOn w:val="104"/>
    <w:next w:val="104"/>
    <w:qFormat/>
    <w:uiPriority w:val="0"/>
    <w:pPr>
      <w:keepNext/>
      <w:keepLines/>
      <w:snapToGrid/>
      <w:spacing w:before="260" w:after="260" w:line="416" w:lineRule="auto"/>
      <w:outlineLvl w:val="1"/>
    </w:pPr>
    <w:rPr>
      <w:rFonts w:ascii="Cambria" w:hAnsi="Cambria"/>
      <w:b/>
      <w:bCs/>
      <w:sz w:val="32"/>
      <w:szCs w:val="32"/>
    </w:rPr>
  </w:style>
  <w:style w:type="paragraph" w:customStyle="1" w:styleId="111">
    <w:name w:val="正文文本缩进 31"/>
    <w:basedOn w:val="104"/>
    <w:qFormat/>
    <w:uiPriority w:val="0"/>
    <w:pPr>
      <w:autoSpaceDE w:val="0"/>
      <w:autoSpaceDN w:val="0"/>
      <w:snapToGrid/>
      <w:spacing w:before="120" w:line="22" w:lineRule="atLeast"/>
      <w:ind w:left="720" w:firstLine="480"/>
      <w:jc w:val="left"/>
    </w:pPr>
    <w:rPr>
      <w:rFonts w:ascii="宋体"/>
      <w:sz w:val="24"/>
      <w:szCs w:val="20"/>
    </w:rPr>
  </w:style>
  <w:style w:type="paragraph" w:customStyle="1" w:styleId="112">
    <w:name w:val="正文文本缩进1"/>
    <w:basedOn w:val="104"/>
    <w:qFormat/>
    <w:uiPriority w:val="0"/>
    <w:pPr>
      <w:snapToGrid/>
      <w:ind w:left="420" w:left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107</Pages>
  <Words>4291</Words>
  <Characters>4958</Characters>
  <Lines>250</Lines>
  <Paragraphs>70</Paragraphs>
  <TotalTime>0</TotalTime>
  <ScaleCrop>false</ScaleCrop>
  <LinksUpToDate>false</LinksUpToDate>
  <CharactersWithSpaces>5004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2015-03-23T21:18:00Z</dcterms:created>
  <dc:creator>微软用户</dc:creator>
  <cp:lastModifiedBy>林佳美</cp:lastModifiedBy>
  <cp:lastPrinted>2019-03-28T05:23:00Z</cp:lastPrinted>
  <dcterms:modified xsi:type="dcterms:W3CDTF">2026-05-13T04:48:28Z</dcterms:modified>
  <dc:title>吉林省监狱管理局狱政设施建设与维护项目</dc:title>
  <cp:revision>754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46025C6995E34771A2E1B2B0387A2F43_13</vt:lpwstr>
  </property>
  <property fmtid="{D5CDD505-2E9C-101B-9397-08002B2CF9AE}" pid="4" name="KSOTemplateDocerSaveRecord">
    <vt:lpwstr>eyJoZGlkIjoiNjI5ZTk0NGQ1NjA0MzkwZDY4NTM2MjE5MmQ1MGZjNjIiLCJ1c2VySWQiOiI1MjExNzcxNjEifQ==</vt:lpwstr>
  </property>
</Properties>
</file>